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C84" w:rsidRPr="00F36DFA" w:rsidRDefault="00600FBB" w:rsidP="00F36DFA">
      <w:pPr>
        <w:pStyle w:val="Ttulo1"/>
        <w:spacing w:before="0" w:line="240" w:lineRule="auto"/>
        <w:jc w:val="center"/>
        <w:rPr>
          <w:rFonts w:asciiTheme="minorHAnsi" w:hAnsiTheme="minorHAnsi" w:cs="Arial"/>
          <w:b/>
          <w:color w:val="auto"/>
        </w:rPr>
      </w:pPr>
      <w:r w:rsidRPr="00F36DFA">
        <w:rPr>
          <w:rFonts w:asciiTheme="minorHAnsi" w:hAnsiTheme="minorHAnsi" w:cs="Arial"/>
          <w:b/>
          <w:color w:val="auto"/>
        </w:rPr>
        <w:t>Publicación del Índice de Expedientes Clasificados como Reservados conforme a la Ley general de Transparencia</w:t>
      </w:r>
    </w:p>
    <w:p w:rsidR="001624AE" w:rsidRPr="00F36DFA" w:rsidRDefault="00E42C6C" w:rsidP="00F36DFA">
      <w:pPr>
        <w:pStyle w:val="Ttulo4"/>
        <w:spacing w:line="240" w:lineRule="auto"/>
        <w:jc w:val="right"/>
        <w:rPr>
          <w:rFonts w:asciiTheme="minorHAnsi" w:hAnsiTheme="minorHAnsi" w:cs="Arial"/>
          <w:color w:val="auto"/>
        </w:rPr>
      </w:pPr>
      <w:r>
        <w:rPr>
          <w:rFonts w:asciiTheme="minorHAnsi" w:hAnsiTheme="minorHAnsi" w:cs="Arial"/>
          <w:color w:val="auto"/>
        </w:rPr>
        <w:t>6</w:t>
      </w:r>
      <w:r w:rsidR="00600FBB" w:rsidRPr="00F36DFA">
        <w:rPr>
          <w:rFonts w:asciiTheme="minorHAnsi" w:hAnsiTheme="minorHAnsi" w:cs="Arial"/>
          <w:color w:val="auto"/>
        </w:rPr>
        <w:t xml:space="preserve"> de enero de 2017</w:t>
      </w:r>
    </w:p>
    <w:p w:rsidR="0091375C" w:rsidRPr="00F36DFA" w:rsidRDefault="0091375C" w:rsidP="00F36DFA">
      <w:pPr>
        <w:spacing w:after="0" w:line="240" w:lineRule="auto"/>
        <w:rPr>
          <w:rFonts w:cs="Arial"/>
          <w:b/>
          <w:sz w:val="24"/>
          <w:szCs w:val="24"/>
          <w:u w:val="single"/>
        </w:rPr>
      </w:pPr>
    </w:p>
    <w:p w:rsidR="00F36DFA" w:rsidRDefault="00F36DFA" w:rsidP="00F36DFA">
      <w:pPr>
        <w:spacing w:after="0" w:line="240" w:lineRule="auto"/>
        <w:jc w:val="both"/>
        <w:rPr>
          <w:rFonts w:cs="Arial"/>
          <w:sz w:val="24"/>
          <w:szCs w:val="24"/>
          <w:lang w:val="es-ES"/>
        </w:rPr>
      </w:pPr>
    </w:p>
    <w:p w:rsidR="00566F59" w:rsidRPr="003D398C" w:rsidRDefault="00566F59" w:rsidP="00F36DFA">
      <w:pPr>
        <w:spacing w:after="0" w:line="240" w:lineRule="auto"/>
        <w:jc w:val="both"/>
        <w:rPr>
          <w:rFonts w:cs="Arial"/>
          <w:b/>
          <w:sz w:val="24"/>
          <w:szCs w:val="24"/>
          <w:lang w:val="es-ES"/>
        </w:rPr>
      </w:pPr>
      <w:r w:rsidRPr="003D398C">
        <w:rPr>
          <w:rFonts w:cs="Arial"/>
          <w:b/>
          <w:sz w:val="24"/>
          <w:szCs w:val="24"/>
          <w:lang w:val="es-ES"/>
        </w:rPr>
        <w:t>La Ley General de Transparencia establece que cada área de los Sujetos Obligados deberá elaborar un “Índice de los Expedientes Clasificados como Reservados” de forma semestral y publicarlos al día siguiente de su elaboración (Art. 102 LGT) cumpliendo lo establecido por los Lineamientos del SNT en la materia (Art. 109 LGT).</w:t>
      </w:r>
    </w:p>
    <w:p w:rsidR="00F36DFA" w:rsidRPr="003D398C" w:rsidRDefault="00F36DFA" w:rsidP="00F36DFA">
      <w:pPr>
        <w:spacing w:after="0" w:line="240" w:lineRule="auto"/>
        <w:jc w:val="both"/>
        <w:rPr>
          <w:rFonts w:cs="Arial"/>
          <w:b/>
          <w:sz w:val="24"/>
          <w:szCs w:val="24"/>
          <w:lang w:val="es-ES"/>
        </w:rPr>
      </w:pPr>
    </w:p>
    <w:p w:rsidR="00566F59" w:rsidRPr="003D398C" w:rsidRDefault="00566F59" w:rsidP="00F36DFA">
      <w:pPr>
        <w:spacing w:after="0" w:line="240" w:lineRule="auto"/>
        <w:jc w:val="both"/>
        <w:rPr>
          <w:rFonts w:cs="Arial"/>
          <w:b/>
          <w:sz w:val="24"/>
          <w:szCs w:val="24"/>
          <w:lang w:val="es-ES"/>
        </w:rPr>
      </w:pPr>
      <w:r w:rsidRPr="003D398C">
        <w:rPr>
          <w:rFonts w:cs="Arial"/>
          <w:b/>
          <w:sz w:val="24"/>
          <w:szCs w:val="24"/>
          <w:lang w:val="es-ES"/>
        </w:rPr>
        <w:t xml:space="preserve">Por su parte, el SNT estableció en los </w:t>
      </w:r>
      <w:r w:rsidRPr="003D398C">
        <w:rPr>
          <w:rFonts w:cs="Arial"/>
          <w:b/>
          <w:i/>
          <w:sz w:val="24"/>
          <w:szCs w:val="24"/>
          <w:lang w:val="es-ES"/>
        </w:rPr>
        <w:t xml:space="preserve">Lineamientos Generales en Materia de Clasificación y Desclasificación de la Información, así como para la Elaboración de Versiones Públicas </w:t>
      </w:r>
      <w:r w:rsidR="003665F6" w:rsidRPr="003D398C">
        <w:rPr>
          <w:rFonts w:cs="Arial"/>
          <w:b/>
          <w:i/>
          <w:sz w:val="24"/>
          <w:szCs w:val="24"/>
          <w:lang w:val="es-ES"/>
        </w:rPr>
        <w:t xml:space="preserve">(Lineamientos) </w:t>
      </w:r>
      <w:r w:rsidRPr="003D398C">
        <w:rPr>
          <w:rFonts w:cs="Arial"/>
          <w:b/>
          <w:sz w:val="24"/>
          <w:szCs w:val="24"/>
          <w:lang w:val="es-ES"/>
        </w:rPr>
        <w:t xml:space="preserve">que dichos índices deberán publicarse en el sitio de internet de los sujetos obligados, así como en la </w:t>
      </w:r>
      <w:r w:rsidR="00EA5E30" w:rsidRPr="00EA5E30">
        <w:rPr>
          <w:rFonts w:cs="Arial"/>
          <w:b/>
          <w:sz w:val="24"/>
          <w:szCs w:val="24"/>
          <w:lang w:val="es-ES"/>
        </w:rPr>
        <w:t xml:space="preserve">Plataforma Nacional de Transparencia </w:t>
      </w:r>
      <w:r w:rsidR="00EA5E30">
        <w:rPr>
          <w:rFonts w:cs="Arial"/>
          <w:b/>
          <w:sz w:val="24"/>
          <w:szCs w:val="24"/>
          <w:lang w:val="es-ES"/>
        </w:rPr>
        <w:t xml:space="preserve">(PNT) </w:t>
      </w:r>
      <w:r w:rsidRPr="003D398C">
        <w:rPr>
          <w:rFonts w:cs="Arial"/>
          <w:b/>
          <w:sz w:val="24"/>
          <w:szCs w:val="24"/>
          <w:lang w:val="es-ES"/>
        </w:rPr>
        <w:t>en formatos abiertos (n</w:t>
      </w:r>
      <w:r w:rsidR="00D34B81">
        <w:rPr>
          <w:rFonts w:cs="Arial"/>
          <w:b/>
          <w:sz w:val="24"/>
          <w:szCs w:val="24"/>
          <w:lang w:val="es-ES"/>
        </w:rPr>
        <w:t xml:space="preserve">umeral décimo segundo) y que la </w:t>
      </w:r>
      <w:r w:rsidRPr="003D398C">
        <w:rPr>
          <w:rFonts w:cs="Arial"/>
          <w:b/>
          <w:sz w:val="24"/>
          <w:szCs w:val="24"/>
          <w:lang w:val="es-ES"/>
        </w:rPr>
        <w:t xml:space="preserve">publicación </w:t>
      </w:r>
      <w:r w:rsidR="00D34B81">
        <w:rPr>
          <w:rFonts w:cs="Arial"/>
          <w:b/>
          <w:sz w:val="24"/>
          <w:szCs w:val="24"/>
          <w:lang w:val="es-ES"/>
        </w:rPr>
        <w:t xml:space="preserve">correspondiente a </w:t>
      </w:r>
      <w:r w:rsidRPr="003D398C">
        <w:rPr>
          <w:rFonts w:cs="Arial"/>
          <w:b/>
          <w:sz w:val="24"/>
          <w:szCs w:val="24"/>
          <w:lang w:val="es-ES"/>
        </w:rPr>
        <w:t xml:space="preserve">enero de 2017 </w:t>
      </w:r>
      <w:r w:rsidR="005C6683">
        <w:rPr>
          <w:rFonts w:cs="Arial"/>
          <w:b/>
          <w:sz w:val="24"/>
          <w:szCs w:val="24"/>
          <w:lang w:val="es-ES"/>
        </w:rPr>
        <w:t>conforme a lo dispuesto</w:t>
      </w:r>
      <w:r w:rsidRPr="003D398C">
        <w:rPr>
          <w:rFonts w:cs="Arial"/>
          <w:b/>
          <w:sz w:val="24"/>
          <w:szCs w:val="24"/>
          <w:lang w:val="es-ES"/>
        </w:rPr>
        <w:t xml:space="preserve"> en los Lineamientos para la implementación y operación de la Plataforma Nacional de Transparencia</w:t>
      </w:r>
      <w:r w:rsidR="001D4E4B" w:rsidRPr="003D398C">
        <w:rPr>
          <w:rFonts w:cs="Arial"/>
          <w:b/>
          <w:sz w:val="24"/>
          <w:szCs w:val="24"/>
          <w:lang w:val="es-ES"/>
        </w:rPr>
        <w:t xml:space="preserve"> (transitorio quinto)</w:t>
      </w:r>
      <w:r w:rsidRPr="003D398C">
        <w:rPr>
          <w:rFonts w:cs="Arial"/>
          <w:b/>
          <w:sz w:val="24"/>
          <w:szCs w:val="24"/>
          <w:lang w:val="es-ES"/>
        </w:rPr>
        <w:t>.</w:t>
      </w:r>
    </w:p>
    <w:p w:rsidR="001D4E4B" w:rsidRPr="00F36DFA" w:rsidRDefault="001D4E4B" w:rsidP="00F36DFA">
      <w:pPr>
        <w:spacing w:after="0" w:line="240" w:lineRule="auto"/>
        <w:jc w:val="both"/>
        <w:rPr>
          <w:rFonts w:cs="Arial"/>
          <w:sz w:val="24"/>
          <w:szCs w:val="24"/>
          <w:lang w:val="es-ES"/>
        </w:rPr>
      </w:pPr>
    </w:p>
    <w:p w:rsidR="005C6683" w:rsidRDefault="005C6683" w:rsidP="00F36DFA">
      <w:pPr>
        <w:spacing w:after="0" w:line="240" w:lineRule="auto"/>
        <w:jc w:val="both"/>
        <w:rPr>
          <w:rFonts w:cs="Arial"/>
          <w:sz w:val="24"/>
          <w:szCs w:val="24"/>
          <w:lang w:val="es-ES"/>
        </w:rPr>
      </w:pPr>
      <w:r>
        <w:rPr>
          <w:rFonts w:cs="Arial"/>
          <w:sz w:val="24"/>
          <w:szCs w:val="24"/>
          <w:lang w:val="es-ES"/>
        </w:rPr>
        <w:t>De tal forma que la presente Guía dará los elementos necesarios para cumplir con dicha obligación:</w:t>
      </w:r>
    </w:p>
    <w:p w:rsidR="005C6683" w:rsidRDefault="005C6683" w:rsidP="00F36DFA">
      <w:pPr>
        <w:spacing w:after="0" w:line="240" w:lineRule="auto"/>
        <w:jc w:val="both"/>
        <w:rPr>
          <w:rFonts w:cs="Arial"/>
          <w:sz w:val="24"/>
          <w:szCs w:val="24"/>
          <w:lang w:val="es-ES"/>
        </w:rPr>
      </w:pPr>
    </w:p>
    <w:p w:rsidR="005C6683" w:rsidRPr="005C6683" w:rsidRDefault="005C6683" w:rsidP="005C6683">
      <w:pPr>
        <w:pStyle w:val="Prrafodelista"/>
        <w:numPr>
          <w:ilvl w:val="0"/>
          <w:numId w:val="28"/>
        </w:numPr>
        <w:spacing w:after="0" w:line="240" w:lineRule="auto"/>
        <w:jc w:val="both"/>
        <w:rPr>
          <w:rFonts w:cs="Arial"/>
          <w:b/>
          <w:sz w:val="24"/>
          <w:szCs w:val="24"/>
          <w:u w:val="single"/>
          <w:lang w:val="es-ES"/>
        </w:rPr>
      </w:pPr>
      <w:r w:rsidRPr="005C6683">
        <w:rPr>
          <w:rFonts w:cs="Arial"/>
          <w:b/>
          <w:sz w:val="24"/>
          <w:szCs w:val="24"/>
          <w:u w:val="single"/>
          <w:lang w:val="es-ES"/>
        </w:rPr>
        <w:t xml:space="preserve">Elaboración: </w:t>
      </w:r>
    </w:p>
    <w:p w:rsidR="005C6683" w:rsidRDefault="005C6683" w:rsidP="00F36DFA">
      <w:pPr>
        <w:spacing w:after="0" w:line="240" w:lineRule="auto"/>
        <w:jc w:val="both"/>
        <w:rPr>
          <w:rFonts w:cs="Arial"/>
          <w:sz w:val="24"/>
          <w:szCs w:val="24"/>
          <w:lang w:val="es-ES"/>
        </w:rPr>
      </w:pPr>
    </w:p>
    <w:p w:rsidR="005C6683" w:rsidRDefault="005C6683" w:rsidP="00F36DFA">
      <w:pPr>
        <w:spacing w:after="0" w:line="240" w:lineRule="auto"/>
        <w:jc w:val="both"/>
        <w:rPr>
          <w:rFonts w:cs="Arial"/>
          <w:sz w:val="24"/>
          <w:szCs w:val="24"/>
          <w:lang w:val="es-ES"/>
        </w:rPr>
      </w:pPr>
      <w:r>
        <w:rPr>
          <w:rFonts w:cs="Arial"/>
          <w:sz w:val="24"/>
          <w:szCs w:val="24"/>
          <w:lang w:val="es-ES"/>
        </w:rPr>
        <w:t>Los índices de expedientes clasificados como reservados (IECR) son un listado de las reservas de información realizadas por las áreas de los sujetos obligados y aprobadas por los Comités de Transparencia de los mismos.</w:t>
      </w:r>
    </w:p>
    <w:p w:rsidR="005C6683" w:rsidRDefault="005C6683" w:rsidP="00F36DFA">
      <w:pPr>
        <w:spacing w:after="0" w:line="240" w:lineRule="auto"/>
        <w:jc w:val="both"/>
        <w:rPr>
          <w:rFonts w:cs="Arial"/>
          <w:sz w:val="24"/>
          <w:szCs w:val="24"/>
          <w:lang w:val="es-ES"/>
        </w:rPr>
      </w:pPr>
    </w:p>
    <w:p w:rsidR="005C6683" w:rsidRDefault="005C6683" w:rsidP="00F36DFA">
      <w:pPr>
        <w:spacing w:after="0" w:line="240" w:lineRule="auto"/>
        <w:jc w:val="both"/>
        <w:rPr>
          <w:rFonts w:cs="Arial"/>
          <w:sz w:val="24"/>
          <w:szCs w:val="24"/>
          <w:lang w:val="es-ES"/>
        </w:rPr>
      </w:pPr>
      <w:r>
        <w:rPr>
          <w:rFonts w:cs="Arial"/>
          <w:sz w:val="24"/>
          <w:szCs w:val="24"/>
          <w:lang w:val="es-ES"/>
        </w:rPr>
        <w:t>Dichos listados contienen una serie de elementos mínimos (determinados en la LGT y en los Lineamientos) que permiten dar seguimiento al estado de reserva de i</w:t>
      </w:r>
      <w:r w:rsidR="00142F2A">
        <w:rPr>
          <w:rFonts w:cs="Arial"/>
          <w:sz w:val="24"/>
          <w:szCs w:val="24"/>
          <w:lang w:val="es-ES"/>
        </w:rPr>
        <w:t>nformación en las instituciones. Se ha diseñado el formulario anexo en formato de datos abiertos para facilitar la elaboración de los IECR</w:t>
      </w:r>
      <w:r w:rsidR="00F90F42">
        <w:rPr>
          <w:rFonts w:cs="Arial"/>
          <w:sz w:val="24"/>
          <w:szCs w:val="24"/>
          <w:lang w:val="es-ES"/>
        </w:rPr>
        <w:t>, mismo que contiene un instructivo de llenado y ejemplo</w:t>
      </w:r>
      <w:r w:rsidR="00142F2A">
        <w:rPr>
          <w:rFonts w:cs="Arial"/>
          <w:sz w:val="24"/>
          <w:szCs w:val="24"/>
          <w:lang w:val="es-ES"/>
        </w:rPr>
        <w:t>.</w:t>
      </w:r>
    </w:p>
    <w:p w:rsidR="005C6683" w:rsidRDefault="005C6683" w:rsidP="00F36DFA">
      <w:pPr>
        <w:spacing w:after="0" w:line="240" w:lineRule="auto"/>
        <w:jc w:val="both"/>
        <w:rPr>
          <w:rFonts w:cs="Arial"/>
          <w:sz w:val="24"/>
          <w:szCs w:val="24"/>
          <w:lang w:val="es-ES"/>
        </w:rPr>
      </w:pPr>
    </w:p>
    <w:p w:rsidR="005C6683" w:rsidRDefault="00F90F42" w:rsidP="00F36DFA">
      <w:pPr>
        <w:spacing w:after="0" w:line="240" w:lineRule="auto"/>
        <w:jc w:val="both"/>
        <w:rPr>
          <w:rFonts w:cs="Arial"/>
          <w:sz w:val="24"/>
          <w:szCs w:val="24"/>
          <w:lang w:val="es-ES"/>
        </w:rPr>
      </w:pPr>
      <w:r>
        <w:rPr>
          <w:rFonts w:cs="Arial"/>
          <w:sz w:val="24"/>
          <w:szCs w:val="24"/>
          <w:lang w:val="es-ES"/>
        </w:rPr>
        <w:t xml:space="preserve">Los IECR deben ser presentados al Comité de Transparencia en los primeros diez días hábiles de enero y julio de cada año por los titulares las áreas de los Sujetos Obligados, dicho comité tendrá diez días hábiles más para aprobarlo o solicitar modificaciones, en caso de no aprobarlo en el plazo establecido habrá </w:t>
      </w:r>
      <w:r w:rsidRPr="00F90F42">
        <w:rPr>
          <w:rFonts w:cs="Arial"/>
          <w:i/>
          <w:sz w:val="24"/>
          <w:szCs w:val="24"/>
          <w:lang w:val="es-ES"/>
        </w:rPr>
        <w:t>afirmativa ficta</w:t>
      </w:r>
      <w:r>
        <w:rPr>
          <w:rFonts w:cs="Arial"/>
          <w:sz w:val="24"/>
          <w:szCs w:val="24"/>
          <w:lang w:val="es-ES"/>
        </w:rPr>
        <w:t xml:space="preserve"> y se entenderá por aprobado. En el caso de modificaciones, las áreas tendrán cinco días más para rectificarlo y remitirlo nuevamente.</w:t>
      </w:r>
    </w:p>
    <w:p w:rsidR="00F90F42" w:rsidRDefault="00F90F42" w:rsidP="00F36DFA">
      <w:pPr>
        <w:spacing w:after="0" w:line="240" w:lineRule="auto"/>
        <w:jc w:val="both"/>
        <w:rPr>
          <w:rFonts w:cs="Arial"/>
          <w:sz w:val="24"/>
          <w:szCs w:val="24"/>
          <w:lang w:val="es-ES"/>
        </w:rPr>
      </w:pPr>
    </w:p>
    <w:p w:rsidR="00F90F42" w:rsidRDefault="00F90F42" w:rsidP="00F90F42">
      <w:pPr>
        <w:spacing w:after="0" w:line="240" w:lineRule="auto"/>
        <w:jc w:val="both"/>
        <w:rPr>
          <w:rFonts w:cs="Arial"/>
          <w:sz w:val="24"/>
          <w:szCs w:val="24"/>
          <w:lang w:val="es-ES"/>
        </w:rPr>
      </w:pPr>
      <w:r w:rsidRPr="00F90F42">
        <w:rPr>
          <w:rFonts w:cs="Arial"/>
          <w:sz w:val="24"/>
          <w:szCs w:val="24"/>
          <w:lang w:val="es-ES"/>
        </w:rPr>
        <w:lastRenderedPageBreak/>
        <w:t>Los índices se considerarán “elaborados” hasta su paso por el Comité de Transparencia a fin de dar certeza a la información contenida en los mismos.</w:t>
      </w:r>
    </w:p>
    <w:p w:rsidR="00F90F42" w:rsidRDefault="00F90F42" w:rsidP="00F90F42">
      <w:pPr>
        <w:spacing w:after="0" w:line="240" w:lineRule="auto"/>
        <w:jc w:val="both"/>
        <w:rPr>
          <w:rFonts w:cs="Arial"/>
          <w:sz w:val="24"/>
          <w:szCs w:val="24"/>
          <w:lang w:val="es-ES"/>
        </w:rPr>
      </w:pPr>
    </w:p>
    <w:p w:rsidR="00F90F42" w:rsidRPr="00F90F42" w:rsidRDefault="00F90F42" w:rsidP="00F90F42">
      <w:pPr>
        <w:spacing w:after="0" w:line="240" w:lineRule="auto"/>
        <w:jc w:val="both"/>
        <w:rPr>
          <w:rFonts w:cs="Arial"/>
          <w:sz w:val="24"/>
          <w:szCs w:val="24"/>
          <w:lang w:val="es-ES"/>
        </w:rPr>
      </w:pPr>
      <w:r>
        <w:rPr>
          <w:rFonts w:cs="Arial"/>
          <w:sz w:val="24"/>
          <w:szCs w:val="24"/>
          <w:lang w:val="es-ES"/>
        </w:rPr>
        <w:t>El IECR de enero de 2017 deberá considerar las clasificaciones comprendidas desde mayo de 2016.</w:t>
      </w:r>
    </w:p>
    <w:p w:rsidR="00F90F42" w:rsidRDefault="00F90F42" w:rsidP="00F36DFA">
      <w:pPr>
        <w:spacing w:after="0" w:line="240" w:lineRule="auto"/>
        <w:jc w:val="both"/>
        <w:rPr>
          <w:rFonts w:cs="Arial"/>
          <w:sz w:val="24"/>
          <w:szCs w:val="24"/>
          <w:lang w:val="es-ES"/>
        </w:rPr>
      </w:pPr>
    </w:p>
    <w:p w:rsidR="003665F6" w:rsidRPr="00F90F42" w:rsidRDefault="00F90F42" w:rsidP="00F90F42">
      <w:pPr>
        <w:pStyle w:val="Prrafodelista"/>
        <w:numPr>
          <w:ilvl w:val="0"/>
          <w:numId w:val="28"/>
        </w:numPr>
        <w:spacing w:after="0" w:line="240" w:lineRule="auto"/>
        <w:jc w:val="both"/>
        <w:rPr>
          <w:rFonts w:cs="Arial"/>
          <w:b/>
          <w:sz w:val="24"/>
          <w:szCs w:val="24"/>
          <w:lang w:val="es-ES"/>
        </w:rPr>
      </w:pPr>
      <w:r>
        <w:rPr>
          <w:rFonts w:cs="Arial"/>
          <w:b/>
          <w:sz w:val="24"/>
          <w:szCs w:val="24"/>
          <w:u w:val="single"/>
          <w:lang w:val="es-ES"/>
        </w:rPr>
        <w:t>Publicación</w:t>
      </w:r>
    </w:p>
    <w:p w:rsidR="00F90F42" w:rsidRDefault="00F90F42" w:rsidP="003665F6">
      <w:pPr>
        <w:pStyle w:val="Prrafodelista"/>
        <w:spacing w:after="0" w:line="240" w:lineRule="auto"/>
        <w:ind w:left="1440"/>
        <w:jc w:val="both"/>
        <w:rPr>
          <w:rFonts w:cs="Arial"/>
          <w:b/>
          <w:sz w:val="24"/>
          <w:szCs w:val="24"/>
          <w:lang w:val="es-ES"/>
        </w:rPr>
      </w:pPr>
    </w:p>
    <w:p w:rsidR="00142FDF" w:rsidRPr="00142FDF" w:rsidRDefault="00142FDF" w:rsidP="00142FDF">
      <w:pPr>
        <w:spacing w:after="0" w:line="240" w:lineRule="auto"/>
        <w:jc w:val="both"/>
        <w:rPr>
          <w:rFonts w:cs="Arial"/>
          <w:sz w:val="24"/>
          <w:szCs w:val="24"/>
          <w:lang w:val="es-ES"/>
        </w:rPr>
      </w:pPr>
      <w:r w:rsidRPr="00142FDF">
        <w:rPr>
          <w:rFonts w:cs="Arial"/>
          <w:sz w:val="24"/>
          <w:szCs w:val="24"/>
          <w:lang w:val="es-ES"/>
        </w:rPr>
        <w:t xml:space="preserve">La publicación de los </w:t>
      </w:r>
      <w:r>
        <w:rPr>
          <w:rFonts w:cs="Arial"/>
          <w:sz w:val="24"/>
          <w:szCs w:val="24"/>
          <w:lang w:val="es-ES"/>
        </w:rPr>
        <w:t>IECR</w:t>
      </w:r>
      <w:r w:rsidRPr="00142FDF">
        <w:rPr>
          <w:rFonts w:cs="Arial"/>
          <w:sz w:val="24"/>
          <w:szCs w:val="24"/>
          <w:lang w:val="es-ES"/>
        </w:rPr>
        <w:t xml:space="preserve"> en el sitio de internet del Sujeto Obligado </w:t>
      </w:r>
      <w:r w:rsidR="00365C03">
        <w:rPr>
          <w:rFonts w:cs="Arial"/>
          <w:sz w:val="24"/>
          <w:szCs w:val="24"/>
          <w:lang w:val="es-ES"/>
        </w:rPr>
        <w:t xml:space="preserve">se realizará una vez agotado su proceso de aprobación y elaboración, y </w:t>
      </w:r>
      <w:r w:rsidRPr="00142FDF">
        <w:rPr>
          <w:rFonts w:cs="Arial"/>
          <w:sz w:val="24"/>
          <w:szCs w:val="24"/>
          <w:lang w:val="es-ES"/>
        </w:rPr>
        <w:t xml:space="preserve">se atendrá a las políticas establecidas por </w:t>
      </w:r>
      <w:r w:rsidR="00365C03">
        <w:rPr>
          <w:rFonts w:cs="Arial"/>
          <w:sz w:val="24"/>
          <w:szCs w:val="24"/>
          <w:lang w:val="es-ES"/>
        </w:rPr>
        <w:t>los Sujetos Obligados</w:t>
      </w:r>
      <w:r>
        <w:rPr>
          <w:rFonts w:cs="Arial"/>
          <w:sz w:val="24"/>
          <w:szCs w:val="24"/>
          <w:lang w:val="es-ES"/>
        </w:rPr>
        <w:t xml:space="preserve">, pero </w:t>
      </w:r>
      <w:r w:rsidR="00365C03">
        <w:rPr>
          <w:rFonts w:cs="Arial"/>
          <w:sz w:val="24"/>
          <w:szCs w:val="24"/>
          <w:lang w:val="es-ES"/>
        </w:rPr>
        <w:t>sujeto al formulario en datos abiertos</w:t>
      </w:r>
      <w:r>
        <w:rPr>
          <w:rFonts w:cs="Arial"/>
          <w:sz w:val="24"/>
          <w:szCs w:val="24"/>
          <w:lang w:val="es-ES"/>
        </w:rPr>
        <w:t xml:space="preserve"> diseñado para este fin</w:t>
      </w:r>
      <w:r w:rsidRPr="00142FDF">
        <w:rPr>
          <w:rFonts w:cs="Arial"/>
          <w:sz w:val="24"/>
          <w:szCs w:val="24"/>
          <w:lang w:val="es-ES"/>
        </w:rPr>
        <w:t>.</w:t>
      </w:r>
    </w:p>
    <w:p w:rsidR="00F90F42" w:rsidRDefault="00F90F42" w:rsidP="003665F6">
      <w:pPr>
        <w:pStyle w:val="Prrafodelista"/>
        <w:spacing w:after="0" w:line="240" w:lineRule="auto"/>
        <w:ind w:left="1440"/>
        <w:jc w:val="both"/>
        <w:rPr>
          <w:rFonts w:cs="Arial"/>
          <w:b/>
          <w:sz w:val="24"/>
          <w:szCs w:val="24"/>
          <w:lang w:val="es-ES"/>
        </w:rPr>
      </w:pPr>
    </w:p>
    <w:p w:rsidR="00FE300D" w:rsidRDefault="00B50C51" w:rsidP="00142FDF">
      <w:pPr>
        <w:spacing w:after="0" w:line="240" w:lineRule="auto"/>
        <w:jc w:val="both"/>
        <w:rPr>
          <w:rFonts w:cs="Arial"/>
          <w:sz w:val="24"/>
          <w:szCs w:val="24"/>
          <w:lang w:val="es-ES"/>
        </w:rPr>
      </w:pPr>
      <w:r>
        <w:rPr>
          <w:rFonts w:cs="Arial"/>
          <w:sz w:val="24"/>
          <w:szCs w:val="24"/>
          <w:lang w:val="es-ES"/>
        </w:rPr>
        <w:t xml:space="preserve">Para el caso de la </w:t>
      </w:r>
      <w:r w:rsidR="00AE56C6" w:rsidRPr="00142FDF">
        <w:rPr>
          <w:rFonts w:cs="Arial"/>
          <w:sz w:val="24"/>
          <w:szCs w:val="24"/>
          <w:lang w:val="es-ES"/>
        </w:rPr>
        <w:t xml:space="preserve">APF y algunas otras instituciones que </w:t>
      </w:r>
      <w:r>
        <w:rPr>
          <w:rFonts w:cs="Arial"/>
          <w:sz w:val="24"/>
          <w:szCs w:val="24"/>
          <w:lang w:val="es-ES"/>
        </w:rPr>
        <w:t xml:space="preserve">antes utilizaban el </w:t>
      </w:r>
      <w:r w:rsidR="003665F6" w:rsidRPr="00142FDF">
        <w:rPr>
          <w:rFonts w:cs="Arial"/>
          <w:sz w:val="24"/>
          <w:szCs w:val="24"/>
          <w:lang w:val="es-ES"/>
        </w:rPr>
        <w:t>Sistema de Índice de Expedientes Reservados</w:t>
      </w:r>
      <w:r w:rsidR="00142FDF">
        <w:rPr>
          <w:rFonts w:cs="Arial"/>
          <w:sz w:val="24"/>
          <w:szCs w:val="24"/>
          <w:lang w:val="es-ES"/>
        </w:rPr>
        <w:t xml:space="preserve"> </w:t>
      </w:r>
      <w:r w:rsidR="003665F6" w:rsidRPr="00142FDF">
        <w:rPr>
          <w:rFonts w:cs="Arial"/>
          <w:sz w:val="24"/>
          <w:szCs w:val="24"/>
          <w:lang w:val="es-ES"/>
        </w:rPr>
        <w:t>del INAI</w:t>
      </w:r>
      <w:r>
        <w:rPr>
          <w:rFonts w:cs="Arial"/>
          <w:sz w:val="24"/>
          <w:szCs w:val="24"/>
          <w:lang w:val="es-ES"/>
        </w:rPr>
        <w:t xml:space="preserve">, </w:t>
      </w:r>
      <w:r w:rsidR="00142FDF">
        <w:rPr>
          <w:rFonts w:cs="Arial"/>
          <w:sz w:val="24"/>
          <w:szCs w:val="24"/>
          <w:lang w:val="es-ES"/>
        </w:rPr>
        <w:t>deberán atender su publicación de forma directa a los sitios de internet y la PNT</w:t>
      </w:r>
      <w:r>
        <w:rPr>
          <w:rFonts w:cs="Arial"/>
          <w:sz w:val="24"/>
          <w:szCs w:val="24"/>
          <w:lang w:val="es-ES"/>
        </w:rPr>
        <w:t xml:space="preserve">, en la forma establecida para ello, </w:t>
      </w:r>
      <w:r w:rsidR="00142FDF">
        <w:rPr>
          <w:rFonts w:cs="Arial"/>
          <w:sz w:val="24"/>
          <w:szCs w:val="24"/>
          <w:lang w:val="es-ES"/>
        </w:rPr>
        <w:t xml:space="preserve">ya que </w:t>
      </w:r>
      <w:r w:rsidR="00FE300D" w:rsidRPr="00142FDF">
        <w:rPr>
          <w:rFonts w:cs="Arial"/>
          <w:sz w:val="24"/>
          <w:szCs w:val="24"/>
          <w:lang w:val="es-ES"/>
        </w:rPr>
        <w:t>no</w:t>
      </w:r>
      <w:r w:rsidR="003665F6" w:rsidRPr="00142FDF">
        <w:rPr>
          <w:rFonts w:cs="Arial"/>
          <w:sz w:val="24"/>
          <w:szCs w:val="24"/>
          <w:lang w:val="es-ES"/>
        </w:rPr>
        <w:t xml:space="preserve"> podrán</w:t>
      </w:r>
      <w:r w:rsidR="00FE300D" w:rsidRPr="00142FDF">
        <w:rPr>
          <w:rFonts w:cs="Arial"/>
          <w:sz w:val="24"/>
          <w:szCs w:val="24"/>
          <w:lang w:val="es-ES"/>
        </w:rPr>
        <w:t xml:space="preserve"> seguir dando cumplimiento a esta obligación</w:t>
      </w:r>
      <w:r w:rsidR="00142FDF" w:rsidRPr="00142FDF">
        <w:rPr>
          <w:rFonts w:cs="Arial"/>
          <w:sz w:val="24"/>
          <w:szCs w:val="24"/>
          <w:lang w:val="es-ES"/>
        </w:rPr>
        <w:t xml:space="preserve"> </w:t>
      </w:r>
      <w:r w:rsidR="00142FDF">
        <w:rPr>
          <w:rFonts w:cs="Arial"/>
          <w:sz w:val="24"/>
          <w:szCs w:val="24"/>
          <w:lang w:val="es-ES"/>
        </w:rPr>
        <w:t>por medio del anterior sistema.</w:t>
      </w:r>
    </w:p>
    <w:p w:rsidR="00142FDF" w:rsidRDefault="00142FDF" w:rsidP="00142FDF">
      <w:pPr>
        <w:spacing w:after="0" w:line="240" w:lineRule="auto"/>
        <w:jc w:val="both"/>
        <w:rPr>
          <w:rFonts w:cs="Arial"/>
          <w:sz w:val="24"/>
          <w:szCs w:val="24"/>
          <w:lang w:val="es-ES"/>
        </w:rPr>
      </w:pPr>
    </w:p>
    <w:p w:rsidR="003665F6" w:rsidRPr="00142FDF" w:rsidRDefault="003665F6" w:rsidP="00142FDF">
      <w:pPr>
        <w:spacing w:after="0" w:line="240" w:lineRule="auto"/>
        <w:jc w:val="both"/>
        <w:rPr>
          <w:rFonts w:cs="Arial"/>
          <w:sz w:val="24"/>
          <w:szCs w:val="24"/>
          <w:lang w:val="es-ES"/>
        </w:rPr>
      </w:pPr>
      <w:r w:rsidRPr="00142FDF">
        <w:rPr>
          <w:rFonts w:cs="Arial"/>
          <w:sz w:val="24"/>
          <w:szCs w:val="24"/>
          <w:lang w:val="es-ES"/>
        </w:rPr>
        <w:t>Respecto a la publicación en la PNT, el transitorio quinto de los Lineamientos establece condiciones que ya han sido superadas: la entrada en operación de la PNT y el establecimiento de sus lineamientos</w:t>
      </w:r>
      <w:r w:rsidR="00142FDF" w:rsidRPr="00142FDF">
        <w:rPr>
          <w:rFonts w:cs="Arial"/>
          <w:sz w:val="24"/>
          <w:szCs w:val="24"/>
          <w:lang w:val="es-ES"/>
        </w:rPr>
        <w:t xml:space="preserve">; </w:t>
      </w:r>
      <w:r w:rsidRPr="00142FDF">
        <w:rPr>
          <w:rFonts w:cs="Arial"/>
          <w:sz w:val="24"/>
          <w:szCs w:val="24"/>
          <w:lang w:val="es-ES"/>
        </w:rPr>
        <w:t>por lo tanto no es necesario que el SNT determine ningún</w:t>
      </w:r>
      <w:r w:rsidR="00142FDF" w:rsidRPr="00142FDF">
        <w:rPr>
          <w:rFonts w:cs="Arial"/>
          <w:sz w:val="24"/>
          <w:szCs w:val="24"/>
          <w:lang w:val="es-ES"/>
        </w:rPr>
        <w:t xml:space="preserve"> otro medio para su publicación</w:t>
      </w:r>
      <w:r w:rsidRPr="00142FDF">
        <w:rPr>
          <w:rFonts w:cs="Arial"/>
          <w:sz w:val="24"/>
          <w:szCs w:val="24"/>
          <w:lang w:val="es-ES"/>
        </w:rPr>
        <w:t xml:space="preserve">. </w:t>
      </w:r>
    </w:p>
    <w:p w:rsidR="00142FDF" w:rsidRPr="00142FDF" w:rsidRDefault="00142FDF" w:rsidP="00142FDF">
      <w:pPr>
        <w:spacing w:after="0" w:line="240" w:lineRule="auto"/>
        <w:jc w:val="both"/>
        <w:rPr>
          <w:rFonts w:cs="Arial"/>
          <w:sz w:val="24"/>
          <w:szCs w:val="24"/>
          <w:lang w:val="es-ES"/>
        </w:rPr>
      </w:pPr>
    </w:p>
    <w:p w:rsidR="00365C03" w:rsidRDefault="003665F6" w:rsidP="00142FDF">
      <w:pPr>
        <w:spacing w:after="0" w:line="240" w:lineRule="auto"/>
        <w:jc w:val="both"/>
        <w:rPr>
          <w:rFonts w:cs="Arial"/>
          <w:sz w:val="24"/>
          <w:szCs w:val="24"/>
          <w:lang w:val="es-ES"/>
        </w:rPr>
      </w:pPr>
      <w:r w:rsidRPr="00142FDF">
        <w:rPr>
          <w:rFonts w:cs="Arial"/>
          <w:sz w:val="24"/>
          <w:szCs w:val="24"/>
          <w:lang w:val="es-ES"/>
        </w:rPr>
        <w:t xml:space="preserve">Asimismo, </w:t>
      </w:r>
      <w:r w:rsidR="00365C03">
        <w:rPr>
          <w:rFonts w:cs="Arial"/>
          <w:sz w:val="24"/>
          <w:szCs w:val="24"/>
          <w:lang w:val="es-ES"/>
        </w:rPr>
        <w:t xml:space="preserve">para realizar </w:t>
      </w:r>
      <w:r w:rsidRPr="00142FDF">
        <w:rPr>
          <w:rFonts w:cs="Arial"/>
          <w:sz w:val="24"/>
          <w:szCs w:val="24"/>
          <w:lang w:val="es-ES"/>
        </w:rPr>
        <w:t xml:space="preserve">la publicación en la PNT deberá </w:t>
      </w:r>
      <w:r w:rsidR="00365C03">
        <w:rPr>
          <w:rFonts w:cs="Arial"/>
          <w:sz w:val="24"/>
          <w:szCs w:val="24"/>
          <w:lang w:val="es-ES"/>
        </w:rPr>
        <w:t>enviarse el enlace del IECR publicado en el sitio de internet del sujeto obligado al Organismo Garante</w:t>
      </w:r>
      <w:r w:rsidR="00A54A18">
        <w:rPr>
          <w:rFonts w:cs="Arial"/>
          <w:sz w:val="24"/>
          <w:szCs w:val="24"/>
          <w:lang w:val="es-ES"/>
        </w:rPr>
        <w:t xml:space="preserve"> que les corresponda</w:t>
      </w:r>
      <w:r w:rsidR="00365C03">
        <w:rPr>
          <w:rFonts w:cs="Arial"/>
          <w:sz w:val="24"/>
          <w:szCs w:val="24"/>
          <w:lang w:val="es-ES"/>
        </w:rPr>
        <w:t>, quién los conjuntará en un listado de enlaces dentro de su propio sitio de internet; mismo que compartirá en un enlace con el INAI para que sean integrados dichos enlaces en un listado final nacional por Organismo Garante en la página de la PNT.</w:t>
      </w:r>
    </w:p>
    <w:p w:rsidR="00365C03" w:rsidRDefault="00365C03" w:rsidP="00142FDF">
      <w:pPr>
        <w:spacing w:after="0" w:line="240" w:lineRule="auto"/>
        <w:jc w:val="both"/>
        <w:rPr>
          <w:rFonts w:cs="Arial"/>
          <w:sz w:val="24"/>
          <w:szCs w:val="24"/>
          <w:lang w:val="es-ES"/>
        </w:rPr>
      </w:pPr>
    </w:p>
    <w:p w:rsidR="00EA5E30" w:rsidRDefault="00365C03" w:rsidP="00142FDF">
      <w:pPr>
        <w:spacing w:after="0" w:line="240" w:lineRule="auto"/>
        <w:jc w:val="both"/>
        <w:rPr>
          <w:rFonts w:cs="Arial"/>
          <w:sz w:val="24"/>
          <w:szCs w:val="24"/>
          <w:lang w:val="es-ES"/>
        </w:rPr>
      </w:pPr>
      <w:r>
        <w:rPr>
          <w:rFonts w:cs="Arial"/>
          <w:sz w:val="24"/>
          <w:szCs w:val="24"/>
          <w:lang w:val="es-ES"/>
        </w:rPr>
        <w:t xml:space="preserve">Dicho proceso de publicación si bien </w:t>
      </w:r>
      <w:r w:rsidR="00142FDF">
        <w:rPr>
          <w:rFonts w:cs="Arial"/>
          <w:sz w:val="24"/>
          <w:szCs w:val="24"/>
          <w:lang w:val="es-ES"/>
        </w:rPr>
        <w:t>no se encuentra definido de manera específica</w:t>
      </w:r>
      <w:r w:rsidR="00EA5E30">
        <w:rPr>
          <w:rFonts w:cs="Arial"/>
          <w:sz w:val="24"/>
          <w:szCs w:val="24"/>
          <w:lang w:val="es-ES"/>
        </w:rPr>
        <w:t xml:space="preserve"> en los </w:t>
      </w:r>
      <w:r w:rsidR="00EA5E30" w:rsidRPr="00EA5E30">
        <w:rPr>
          <w:rFonts w:cs="Arial"/>
          <w:i/>
          <w:sz w:val="24"/>
          <w:szCs w:val="24"/>
          <w:lang w:val="es-ES"/>
        </w:rPr>
        <w:t>Lineamientos para la implementación y operación de la Plataforma Nacional de Transparencia</w:t>
      </w:r>
      <w:r w:rsidR="00EA5E30">
        <w:rPr>
          <w:rFonts w:cs="Arial"/>
          <w:sz w:val="24"/>
          <w:szCs w:val="24"/>
          <w:lang w:val="es-ES"/>
        </w:rPr>
        <w:t xml:space="preserve">, si se fundamenta en </w:t>
      </w:r>
      <w:r w:rsidR="00142FDF">
        <w:rPr>
          <w:rFonts w:cs="Arial"/>
          <w:sz w:val="24"/>
          <w:szCs w:val="24"/>
          <w:lang w:val="es-ES"/>
        </w:rPr>
        <w:t xml:space="preserve">dicho </w:t>
      </w:r>
      <w:r w:rsidR="00EA5E30">
        <w:rPr>
          <w:rFonts w:cs="Arial"/>
          <w:sz w:val="24"/>
          <w:szCs w:val="24"/>
          <w:lang w:val="es-ES"/>
        </w:rPr>
        <w:t>ordenamiento en los numerales: Segundo, fracción XXII; Sexto; Octavo; Trigésimo Séptimo y Centésimo Trigésimo Octavo</w:t>
      </w:r>
    </w:p>
    <w:p w:rsidR="00EA5E30" w:rsidRDefault="00EA5E30" w:rsidP="00142FDF">
      <w:pPr>
        <w:spacing w:after="0" w:line="240" w:lineRule="auto"/>
        <w:jc w:val="both"/>
        <w:rPr>
          <w:rFonts w:cs="Arial"/>
          <w:sz w:val="24"/>
          <w:szCs w:val="24"/>
          <w:lang w:val="es-ES"/>
        </w:rPr>
      </w:pPr>
    </w:p>
    <w:p w:rsidR="00EA5E30" w:rsidRDefault="00EA5E30">
      <w:pPr>
        <w:rPr>
          <w:rFonts w:cs="Arial"/>
          <w:sz w:val="24"/>
          <w:szCs w:val="24"/>
          <w:highlight w:val="lightGray"/>
          <w:lang w:val="es-ES"/>
        </w:rPr>
        <w:sectPr w:rsidR="00EA5E30" w:rsidSect="00600FBB">
          <w:headerReference w:type="default" r:id="rId8"/>
          <w:pgSz w:w="12240" w:h="15840"/>
          <w:pgMar w:top="2410" w:right="1701" w:bottom="1418" w:left="1701" w:header="709" w:footer="709" w:gutter="0"/>
          <w:cols w:space="708"/>
          <w:docGrid w:linePitch="360"/>
        </w:sectPr>
      </w:pPr>
    </w:p>
    <w:p w:rsidR="00FE300D" w:rsidRDefault="00FE300D" w:rsidP="00F36DFA">
      <w:pPr>
        <w:spacing w:after="0" w:line="240" w:lineRule="auto"/>
        <w:jc w:val="both"/>
        <w:rPr>
          <w:rFonts w:cs="Arial"/>
          <w:sz w:val="24"/>
          <w:szCs w:val="24"/>
          <w:highlight w:val="lightGray"/>
          <w:lang w:val="es-ES"/>
        </w:rPr>
      </w:pPr>
    </w:p>
    <w:p w:rsidR="00600FBB" w:rsidRPr="00F36DFA" w:rsidRDefault="00600FBB" w:rsidP="00F36DFA">
      <w:pPr>
        <w:spacing w:after="0" w:line="240" w:lineRule="auto"/>
        <w:jc w:val="both"/>
        <w:rPr>
          <w:rFonts w:cs="Arial"/>
          <w:sz w:val="24"/>
          <w:szCs w:val="24"/>
          <w:lang w:val="es-ES"/>
        </w:rPr>
      </w:pPr>
      <w:r w:rsidRPr="00AE08D4">
        <w:rPr>
          <w:rFonts w:cs="Arial"/>
          <w:sz w:val="24"/>
          <w:szCs w:val="24"/>
          <w:highlight w:val="lightGray"/>
          <w:lang w:val="es-ES"/>
        </w:rPr>
        <w:t xml:space="preserve">La </w:t>
      </w:r>
      <w:r w:rsidRPr="00AE08D4">
        <w:rPr>
          <w:rFonts w:cs="Arial"/>
          <w:b/>
          <w:sz w:val="24"/>
          <w:szCs w:val="24"/>
          <w:highlight w:val="lightGray"/>
          <w:lang w:val="es-ES"/>
        </w:rPr>
        <w:t>Ley General de Transparencia</w:t>
      </w:r>
      <w:r w:rsidRPr="00AE08D4">
        <w:rPr>
          <w:rFonts w:cs="Arial"/>
          <w:sz w:val="24"/>
          <w:szCs w:val="24"/>
          <w:highlight w:val="lightGray"/>
          <w:lang w:val="es-ES"/>
        </w:rPr>
        <w:t xml:space="preserve"> establece en sus artículos 102 y 109 lo siguiente:</w:t>
      </w:r>
    </w:p>
    <w:p w:rsidR="00AE08D4" w:rsidRDefault="00AE08D4" w:rsidP="00F36DFA">
      <w:pPr>
        <w:spacing w:after="0" w:line="240" w:lineRule="auto"/>
        <w:ind w:left="567"/>
        <w:jc w:val="both"/>
        <w:rPr>
          <w:rFonts w:cs="Arial"/>
          <w:b/>
          <w:sz w:val="24"/>
          <w:szCs w:val="24"/>
          <w:lang w:val="es-ES"/>
        </w:rPr>
      </w:pPr>
    </w:p>
    <w:p w:rsidR="00600FBB" w:rsidRPr="00F36DFA" w:rsidRDefault="00600FBB" w:rsidP="00F36DFA">
      <w:pPr>
        <w:spacing w:after="0" w:line="240" w:lineRule="auto"/>
        <w:ind w:left="567"/>
        <w:jc w:val="both"/>
        <w:rPr>
          <w:rFonts w:cs="Arial"/>
          <w:sz w:val="24"/>
          <w:szCs w:val="24"/>
          <w:lang w:val="es-ES"/>
        </w:rPr>
      </w:pPr>
      <w:r w:rsidRPr="00F36DFA">
        <w:rPr>
          <w:rFonts w:cs="Arial"/>
          <w:b/>
          <w:sz w:val="24"/>
          <w:szCs w:val="24"/>
          <w:lang w:val="es-ES"/>
        </w:rPr>
        <w:t>Artículo 102.</w:t>
      </w:r>
      <w:r w:rsidRPr="00F36DFA">
        <w:rPr>
          <w:rFonts w:cs="Arial"/>
          <w:sz w:val="24"/>
          <w:szCs w:val="24"/>
          <w:lang w:val="es-ES"/>
        </w:rPr>
        <w:t xml:space="preserve"> Cada Área del sujeto obligado elaborará un índice de los Expedientes clasificados como reservados, por Área responsable de la información y tema.</w:t>
      </w:r>
    </w:p>
    <w:p w:rsidR="00600FBB" w:rsidRPr="00F36DFA" w:rsidRDefault="00600FBB" w:rsidP="00F36DFA">
      <w:pPr>
        <w:spacing w:before="60" w:after="60" w:line="240" w:lineRule="auto"/>
        <w:ind w:left="567"/>
        <w:jc w:val="both"/>
        <w:rPr>
          <w:rFonts w:cs="Arial"/>
          <w:sz w:val="24"/>
          <w:szCs w:val="24"/>
          <w:lang w:val="es-ES"/>
        </w:rPr>
      </w:pPr>
      <w:r w:rsidRPr="00F36DFA">
        <w:rPr>
          <w:rFonts w:cs="Arial"/>
          <w:sz w:val="24"/>
          <w:szCs w:val="24"/>
          <w:u w:val="single"/>
          <w:lang w:val="es-ES"/>
        </w:rPr>
        <w:t>El índice deberá elaborarse semestralmente y publicarse en Formatos Abiertos al día siguiente de su elaboración</w:t>
      </w:r>
      <w:r w:rsidRPr="00F36DFA">
        <w:rPr>
          <w:rFonts w:cs="Arial"/>
          <w:sz w:val="24"/>
          <w:szCs w:val="24"/>
          <w:lang w:val="es-ES"/>
        </w:rPr>
        <w:t>.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rsidR="00600FBB" w:rsidRPr="00F36DFA" w:rsidRDefault="00600FBB" w:rsidP="00F36DFA">
      <w:pPr>
        <w:spacing w:after="0" w:line="240" w:lineRule="auto"/>
        <w:ind w:left="567"/>
        <w:jc w:val="both"/>
        <w:rPr>
          <w:rFonts w:cs="Arial"/>
          <w:sz w:val="24"/>
          <w:szCs w:val="24"/>
          <w:lang w:val="es-ES"/>
        </w:rPr>
      </w:pPr>
      <w:r w:rsidRPr="00F36DFA">
        <w:rPr>
          <w:rFonts w:cs="Arial"/>
          <w:sz w:val="24"/>
          <w:szCs w:val="24"/>
          <w:lang w:val="es-ES"/>
        </w:rPr>
        <w:t>En ningún caso el índice será considerado como información reservada</w:t>
      </w:r>
    </w:p>
    <w:p w:rsidR="00600FBB" w:rsidRPr="00F36DFA" w:rsidRDefault="00600FBB" w:rsidP="00F36DFA">
      <w:pPr>
        <w:spacing w:after="0" w:line="240" w:lineRule="auto"/>
        <w:ind w:left="567"/>
        <w:jc w:val="both"/>
        <w:rPr>
          <w:rFonts w:cs="Arial"/>
          <w:sz w:val="24"/>
          <w:szCs w:val="24"/>
          <w:lang w:val="es-ES"/>
        </w:rPr>
      </w:pPr>
    </w:p>
    <w:p w:rsidR="00600FBB" w:rsidRPr="00F36DFA" w:rsidRDefault="00600FBB" w:rsidP="00F36DFA">
      <w:pPr>
        <w:spacing w:after="0" w:line="240" w:lineRule="auto"/>
        <w:ind w:left="567"/>
        <w:jc w:val="both"/>
        <w:rPr>
          <w:rFonts w:cs="Arial"/>
          <w:sz w:val="24"/>
          <w:szCs w:val="24"/>
          <w:lang w:val="es-ES"/>
        </w:rPr>
      </w:pPr>
      <w:r w:rsidRPr="00F36DFA">
        <w:rPr>
          <w:rFonts w:cs="Arial"/>
          <w:b/>
          <w:sz w:val="24"/>
          <w:szCs w:val="24"/>
          <w:lang w:val="es-ES"/>
        </w:rPr>
        <w:t>Artículo 109.</w:t>
      </w:r>
      <w:r w:rsidRPr="00F36DFA">
        <w:rPr>
          <w:rFonts w:cs="Arial"/>
          <w:sz w:val="24"/>
          <w:szCs w:val="24"/>
          <w:lang w:val="es-ES"/>
        </w:rPr>
        <w:t xml:space="preserve"> </w:t>
      </w:r>
      <w:r w:rsidRPr="00F36DFA">
        <w:rPr>
          <w:rFonts w:cs="Arial"/>
          <w:sz w:val="24"/>
          <w:szCs w:val="24"/>
          <w:u w:val="single"/>
          <w:lang w:val="es-ES"/>
        </w:rPr>
        <w:t>Los lineamientos generales</w:t>
      </w:r>
      <w:r w:rsidRPr="00F36DFA">
        <w:rPr>
          <w:rFonts w:cs="Arial"/>
          <w:sz w:val="24"/>
          <w:szCs w:val="24"/>
          <w:lang w:val="es-ES"/>
        </w:rPr>
        <w:t xml:space="preserve"> que emita el Sistema Nacional en materia de clasificación de la información reservada y confidencial y, para la elaboración de versiones públicas, </w:t>
      </w:r>
      <w:r w:rsidRPr="00F36DFA">
        <w:rPr>
          <w:rFonts w:cs="Arial"/>
          <w:sz w:val="24"/>
          <w:szCs w:val="24"/>
          <w:u w:val="single"/>
          <w:lang w:val="es-ES"/>
        </w:rPr>
        <w:t>serán de observancia obligatoria para los sujetos obligados</w:t>
      </w:r>
      <w:r w:rsidRPr="00F36DFA">
        <w:rPr>
          <w:rFonts w:cs="Arial"/>
          <w:sz w:val="24"/>
          <w:szCs w:val="24"/>
          <w:lang w:val="es-ES"/>
        </w:rPr>
        <w:t>.</w:t>
      </w:r>
    </w:p>
    <w:p w:rsidR="00600FBB" w:rsidRDefault="00600FBB" w:rsidP="00F36DFA">
      <w:pPr>
        <w:spacing w:after="0" w:line="240" w:lineRule="auto"/>
        <w:jc w:val="both"/>
        <w:rPr>
          <w:rFonts w:cs="Arial"/>
          <w:sz w:val="24"/>
          <w:szCs w:val="24"/>
          <w:lang w:val="es-ES"/>
        </w:rPr>
      </w:pPr>
    </w:p>
    <w:p w:rsidR="00AE08D4" w:rsidRPr="00F36DFA" w:rsidRDefault="00AE08D4" w:rsidP="00F36DFA">
      <w:pPr>
        <w:spacing w:after="0" w:line="240" w:lineRule="auto"/>
        <w:jc w:val="both"/>
        <w:rPr>
          <w:rFonts w:cs="Arial"/>
          <w:sz w:val="24"/>
          <w:szCs w:val="24"/>
          <w:lang w:val="es-ES"/>
        </w:rPr>
      </w:pPr>
    </w:p>
    <w:p w:rsidR="00600FBB" w:rsidRPr="00F36DFA" w:rsidRDefault="00F36DFA" w:rsidP="00F36DFA">
      <w:pPr>
        <w:spacing w:after="0" w:line="240" w:lineRule="auto"/>
        <w:jc w:val="both"/>
        <w:rPr>
          <w:rFonts w:cs="Arial"/>
          <w:sz w:val="24"/>
          <w:szCs w:val="24"/>
          <w:lang w:val="es-ES"/>
        </w:rPr>
      </w:pPr>
      <w:r w:rsidRPr="00AE08D4">
        <w:rPr>
          <w:rFonts w:cs="Arial"/>
          <w:sz w:val="24"/>
          <w:szCs w:val="24"/>
          <w:highlight w:val="lightGray"/>
          <w:lang w:val="es-ES"/>
        </w:rPr>
        <w:t>L</w:t>
      </w:r>
      <w:r w:rsidR="00600FBB" w:rsidRPr="00AE08D4">
        <w:rPr>
          <w:rFonts w:cs="Arial"/>
          <w:sz w:val="24"/>
          <w:szCs w:val="24"/>
          <w:highlight w:val="lightGray"/>
          <w:lang w:val="es-ES"/>
        </w:rPr>
        <w:t xml:space="preserve">os </w:t>
      </w:r>
      <w:r w:rsidR="00566F59" w:rsidRPr="00AE08D4">
        <w:rPr>
          <w:rFonts w:cs="Arial"/>
          <w:b/>
          <w:sz w:val="24"/>
          <w:szCs w:val="24"/>
          <w:highlight w:val="lightGray"/>
          <w:lang w:val="es-ES"/>
        </w:rPr>
        <w:t xml:space="preserve">Lineamientos Generales </w:t>
      </w:r>
      <w:r w:rsidR="00566F59" w:rsidRPr="00D90C6E">
        <w:rPr>
          <w:rFonts w:cs="Arial"/>
          <w:sz w:val="24"/>
          <w:szCs w:val="24"/>
          <w:highlight w:val="lightGray"/>
          <w:lang w:val="es-ES"/>
        </w:rPr>
        <w:t>en Materia de Clasificación</w:t>
      </w:r>
      <w:r w:rsidR="00566F59" w:rsidRPr="00AE08D4">
        <w:rPr>
          <w:rFonts w:cs="Arial"/>
          <w:sz w:val="24"/>
          <w:szCs w:val="24"/>
          <w:highlight w:val="lightGray"/>
          <w:lang w:val="es-ES"/>
        </w:rPr>
        <w:t xml:space="preserve"> y Desclasificación de la Información, así como para la Elaboración de Versiones Públicas </w:t>
      </w:r>
      <w:r w:rsidRPr="00AE08D4">
        <w:rPr>
          <w:rFonts w:cs="Arial"/>
          <w:sz w:val="24"/>
          <w:szCs w:val="24"/>
          <w:highlight w:val="lightGray"/>
          <w:lang w:val="es-ES"/>
        </w:rPr>
        <w:t xml:space="preserve">en sus numerales Décimo Segundo y Quinto Transitorio </w:t>
      </w:r>
      <w:r w:rsidR="00A00136" w:rsidRPr="00AE08D4">
        <w:rPr>
          <w:rFonts w:cs="Arial"/>
          <w:sz w:val="24"/>
          <w:szCs w:val="24"/>
          <w:highlight w:val="lightGray"/>
          <w:lang w:val="es-ES"/>
        </w:rPr>
        <w:t>establecen:</w:t>
      </w:r>
      <w:r w:rsidR="00A00136" w:rsidRPr="00F36DFA">
        <w:rPr>
          <w:rFonts w:cs="Arial"/>
          <w:sz w:val="24"/>
          <w:szCs w:val="24"/>
          <w:lang w:val="es-ES"/>
        </w:rPr>
        <w:t xml:space="preserve"> </w:t>
      </w:r>
    </w:p>
    <w:p w:rsidR="00AE08D4" w:rsidRDefault="00AE08D4" w:rsidP="00F36DFA">
      <w:pPr>
        <w:spacing w:after="0" w:line="240" w:lineRule="auto"/>
        <w:ind w:left="567"/>
        <w:jc w:val="both"/>
        <w:rPr>
          <w:rFonts w:cs="Arial"/>
          <w:b/>
          <w:sz w:val="24"/>
          <w:szCs w:val="24"/>
          <w:lang w:val="es-ES"/>
        </w:rPr>
      </w:pPr>
    </w:p>
    <w:p w:rsidR="00A00136" w:rsidRPr="00F36DFA" w:rsidRDefault="00036FFE" w:rsidP="00F36DFA">
      <w:pPr>
        <w:spacing w:after="0" w:line="240" w:lineRule="auto"/>
        <w:ind w:left="567"/>
        <w:jc w:val="both"/>
        <w:rPr>
          <w:rFonts w:cs="Arial"/>
          <w:sz w:val="24"/>
          <w:szCs w:val="24"/>
          <w:u w:val="single"/>
          <w:lang w:val="es-ES"/>
        </w:rPr>
      </w:pPr>
      <w:r w:rsidRPr="00F36DFA">
        <w:rPr>
          <w:rFonts w:cs="Arial"/>
          <w:b/>
          <w:sz w:val="24"/>
          <w:szCs w:val="24"/>
          <w:lang w:val="es-ES"/>
        </w:rPr>
        <w:t>Décimo segundo.</w:t>
      </w:r>
      <w:r w:rsidRPr="00F36DFA">
        <w:rPr>
          <w:rFonts w:cs="Arial"/>
          <w:sz w:val="24"/>
          <w:szCs w:val="24"/>
          <w:lang w:val="es-ES"/>
        </w:rPr>
        <w:t xml:space="preserve"> Los titulares de las áreas de los sujetos obligados elaborarán semestralmente un índice de los expedientes clasificados como reservados, por área responsable de la información y tema. </w:t>
      </w:r>
      <w:r w:rsidRPr="00F36DFA">
        <w:rPr>
          <w:rFonts w:cs="Arial"/>
          <w:sz w:val="24"/>
          <w:szCs w:val="24"/>
          <w:u w:val="single"/>
          <w:lang w:val="es-ES"/>
        </w:rPr>
        <w:t>Dichos índices deberán publicarse en el sitio de internet de los sujetos obligados, así como en la Plataforma Nacional en formatos abiertos al día siguiente de su elaboración.</w:t>
      </w:r>
    </w:p>
    <w:p w:rsidR="00036FFE" w:rsidRDefault="00036FFE" w:rsidP="00F36DFA">
      <w:pPr>
        <w:spacing w:after="0" w:line="240" w:lineRule="auto"/>
        <w:ind w:left="567"/>
        <w:jc w:val="both"/>
        <w:rPr>
          <w:rFonts w:cs="Arial"/>
          <w:sz w:val="24"/>
          <w:szCs w:val="24"/>
          <w:lang w:val="es-ES"/>
        </w:rPr>
      </w:pPr>
    </w:p>
    <w:p w:rsidR="00CD4A2C" w:rsidRPr="00CD4A2C" w:rsidRDefault="00CD4A2C" w:rsidP="00CD4A2C">
      <w:pPr>
        <w:spacing w:after="0" w:line="240" w:lineRule="auto"/>
        <w:ind w:left="567"/>
        <w:jc w:val="both"/>
        <w:rPr>
          <w:rFonts w:cs="Arial"/>
          <w:sz w:val="24"/>
          <w:szCs w:val="24"/>
          <w:lang w:val="es-ES"/>
        </w:rPr>
      </w:pPr>
      <w:r w:rsidRPr="00CD4A2C">
        <w:rPr>
          <w:rFonts w:cs="Arial"/>
          <w:b/>
          <w:sz w:val="24"/>
          <w:szCs w:val="24"/>
          <w:lang w:val="es-ES"/>
        </w:rPr>
        <w:t>Décimo tercero.</w:t>
      </w:r>
      <w:r w:rsidRPr="00CD4A2C">
        <w:rPr>
          <w:rFonts w:cs="Arial"/>
          <w:sz w:val="24"/>
          <w:szCs w:val="24"/>
          <w:lang w:val="es-ES"/>
        </w:rPr>
        <w:t xml:space="preserve"> A efecto de mantener actualizado el índice de los expedientes</w:t>
      </w:r>
      <w:r>
        <w:rPr>
          <w:rFonts w:cs="Arial"/>
          <w:sz w:val="24"/>
          <w:szCs w:val="24"/>
          <w:lang w:val="es-ES"/>
        </w:rPr>
        <w:t xml:space="preserve"> </w:t>
      </w:r>
      <w:r w:rsidRPr="00CD4A2C">
        <w:rPr>
          <w:rFonts w:cs="Arial"/>
          <w:sz w:val="24"/>
          <w:szCs w:val="24"/>
          <w:lang w:val="es-ES"/>
        </w:rPr>
        <w:t xml:space="preserve">clasificados como reservados, </w:t>
      </w:r>
      <w:r w:rsidRPr="00CD4A2C">
        <w:rPr>
          <w:rFonts w:cs="Arial"/>
          <w:sz w:val="24"/>
          <w:szCs w:val="24"/>
          <w:u w:val="single"/>
          <w:lang w:val="es-ES"/>
        </w:rPr>
        <w:t>los titulares de las áreas lo enviarán al Comité de Transparencia dentro de los primeros diez días hábiles de los meses de enero y julio de cada año,</w:t>
      </w:r>
      <w:r w:rsidRPr="00CD4A2C">
        <w:rPr>
          <w:rFonts w:cs="Arial"/>
          <w:sz w:val="24"/>
          <w:szCs w:val="24"/>
          <w:lang w:val="es-ES"/>
        </w:rPr>
        <w:t xml:space="preserve"> según corresponda. El Comité de Transparencia tendrá un plazo</w:t>
      </w:r>
      <w:r>
        <w:rPr>
          <w:rFonts w:cs="Arial"/>
          <w:sz w:val="24"/>
          <w:szCs w:val="24"/>
          <w:lang w:val="es-ES"/>
        </w:rPr>
        <w:t xml:space="preserve"> </w:t>
      </w:r>
      <w:r w:rsidRPr="00CD4A2C">
        <w:rPr>
          <w:rFonts w:cs="Arial"/>
          <w:sz w:val="24"/>
          <w:szCs w:val="24"/>
          <w:lang w:val="es-ES"/>
        </w:rPr>
        <w:t>de diez días hábiles para su aprobación.</w:t>
      </w:r>
    </w:p>
    <w:p w:rsidR="00CD4A2C" w:rsidRDefault="00CD4A2C" w:rsidP="00CD4A2C">
      <w:pPr>
        <w:spacing w:before="60" w:after="0" w:line="240" w:lineRule="auto"/>
        <w:ind w:left="567"/>
        <w:jc w:val="both"/>
        <w:rPr>
          <w:rFonts w:cs="Arial"/>
          <w:sz w:val="24"/>
          <w:szCs w:val="24"/>
          <w:lang w:val="es-ES"/>
        </w:rPr>
      </w:pPr>
      <w:r w:rsidRPr="00CD4A2C">
        <w:rPr>
          <w:rFonts w:cs="Arial"/>
          <w:sz w:val="24"/>
          <w:szCs w:val="24"/>
          <w:lang w:val="es-ES"/>
        </w:rPr>
        <w:t>Transcurrido dicho plazo, sin que exista determinación alguna por parte del</w:t>
      </w:r>
      <w:r>
        <w:rPr>
          <w:rFonts w:cs="Arial"/>
          <w:sz w:val="24"/>
          <w:szCs w:val="24"/>
          <w:lang w:val="es-ES"/>
        </w:rPr>
        <w:t xml:space="preserve"> </w:t>
      </w:r>
      <w:r w:rsidRPr="00CD4A2C">
        <w:rPr>
          <w:rFonts w:cs="Arial"/>
          <w:sz w:val="24"/>
          <w:szCs w:val="24"/>
          <w:lang w:val="es-ES"/>
        </w:rPr>
        <w:t>Comité de Transparencia, se entenderá por aprobado. En caso contrario, las áreas,</w:t>
      </w:r>
      <w:r>
        <w:rPr>
          <w:rFonts w:cs="Arial"/>
          <w:sz w:val="24"/>
          <w:szCs w:val="24"/>
          <w:lang w:val="es-ES"/>
        </w:rPr>
        <w:t xml:space="preserve"> </w:t>
      </w:r>
      <w:r w:rsidRPr="00CD4A2C">
        <w:rPr>
          <w:rFonts w:cs="Arial"/>
          <w:sz w:val="24"/>
          <w:szCs w:val="24"/>
          <w:lang w:val="es-ES"/>
        </w:rPr>
        <w:t>dentro de los cinco días siguientes, le deberán remitir de nueva cuenta el índice de</w:t>
      </w:r>
      <w:r>
        <w:rPr>
          <w:rFonts w:cs="Arial"/>
          <w:sz w:val="24"/>
          <w:szCs w:val="24"/>
          <w:lang w:val="es-ES"/>
        </w:rPr>
        <w:t xml:space="preserve"> </w:t>
      </w:r>
      <w:r w:rsidRPr="00CD4A2C">
        <w:rPr>
          <w:rFonts w:cs="Arial"/>
          <w:sz w:val="24"/>
          <w:szCs w:val="24"/>
          <w:lang w:val="es-ES"/>
        </w:rPr>
        <w:t>expedientes reservados; elaborando, en su caso, las modificaciones que, a su juicio,</w:t>
      </w:r>
      <w:r>
        <w:rPr>
          <w:rFonts w:cs="Arial"/>
          <w:sz w:val="24"/>
          <w:szCs w:val="24"/>
          <w:lang w:val="es-ES"/>
        </w:rPr>
        <w:t xml:space="preserve"> </w:t>
      </w:r>
      <w:r w:rsidRPr="00CD4A2C">
        <w:rPr>
          <w:rFonts w:cs="Arial"/>
          <w:sz w:val="24"/>
          <w:szCs w:val="24"/>
          <w:lang w:val="es-ES"/>
        </w:rPr>
        <w:t>estimen pertinentes, las cuales deberán estar claramente identificadas, o</w:t>
      </w:r>
      <w:r>
        <w:rPr>
          <w:rFonts w:cs="Arial"/>
          <w:sz w:val="24"/>
          <w:szCs w:val="24"/>
          <w:lang w:val="es-ES"/>
        </w:rPr>
        <w:t xml:space="preserve"> </w:t>
      </w:r>
      <w:r w:rsidRPr="00CD4A2C">
        <w:rPr>
          <w:rFonts w:cs="Arial"/>
          <w:sz w:val="24"/>
          <w:szCs w:val="24"/>
          <w:lang w:val="es-ES"/>
        </w:rPr>
        <w:t>acompañar los razonamientos por los cuales envíen en los mismos términos al</w:t>
      </w:r>
      <w:r>
        <w:rPr>
          <w:rFonts w:cs="Arial"/>
          <w:sz w:val="24"/>
          <w:szCs w:val="24"/>
          <w:lang w:val="es-ES"/>
        </w:rPr>
        <w:t xml:space="preserve"> </w:t>
      </w:r>
      <w:r w:rsidRPr="00CD4A2C">
        <w:rPr>
          <w:rFonts w:cs="Arial"/>
          <w:sz w:val="24"/>
          <w:szCs w:val="24"/>
          <w:lang w:val="es-ES"/>
        </w:rPr>
        <w:t>Comité de Transparencia, el referido índice.</w:t>
      </w:r>
      <w:r>
        <w:rPr>
          <w:rFonts w:cs="Arial"/>
          <w:sz w:val="24"/>
          <w:szCs w:val="24"/>
          <w:lang w:val="es-ES"/>
        </w:rPr>
        <w:t xml:space="preserve"> </w:t>
      </w:r>
    </w:p>
    <w:p w:rsidR="00CD4A2C" w:rsidRPr="00CD4A2C" w:rsidRDefault="00CD4A2C" w:rsidP="00CD4A2C">
      <w:pPr>
        <w:spacing w:after="0" w:line="240" w:lineRule="auto"/>
        <w:ind w:left="567"/>
        <w:jc w:val="both"/>
        <w:rPr>
          <w:rFonts w:cs="Arial"/>
          <w:sz w:val="24"/>
          <w:szCs w:val="24"/>
          <w:lang w:val="es-ES"/>
        </w:rPr>
      </w:pPr>
    </w:p>
    <w:p w:rsidR="00CD4A2C" w:rsidRPr="00CD4A2C" w:rsidRDefault="00CD4A2C" w:rsidP="00CD4A2C">
      <w:pPr>
        <w:spacing w:after="0" w:line="240" w:lineRule="auto"/>
        <w:ind w:left="567"/>
        <w:jc w:val="both"/>
        <w:rPr>
          <w:rFonts w:cs="Arial"/>
          <w:sz w:val="24"/>
          <w:szCs w:val="24"/>
          <w:u w:val="single"/>
          <w:lang w:val="es-ES"/>
        </w:rPr>
      </w:pPr>
      <w:r w:rsidRPr="00CD4A2C">
        <w:rPr>
          <w:rFonts w:cs="Arial"/>
          <w:b/>
          <w:sz w:val="24"/>
          <w:szCs w:val="24"/>
          <w:lang w:val="es-ES"/>
        </w:rPr>
        <w:lastRenderedPageBreak/>
        <w:t>Décimo cuarto.</w:t>
      </w:r>
      <w:r w:rsidRPr="00CD4A2C">
        <w:rPr>
          <w:rFonts w:cs="Arial"/>
          <w:sz w:val="24"/>
          <w:szCs w:val="24"/>
          <w:lang w:val="es-ES"/>
        </w:rPr>
        <w:t xml:space="preserve"> </w:t>
      </w:r>
      <w:r w:rsidRPr="00CD4A2C">
        <w:rPr>
          <w:rFonts w:cs="Arial"/>
          <w:sz w:val="24"/>
          <w:szCs w:val="24"/>
          <w:u w:val="single"/>
          <w:lang w:val="es-ES"/>
        </w:rPr>
        <w:t>Los índices de los expedientes clasificados como reservados deberán contener:</w:t>
      </w:r>
    </w:p>
    <w:p w:rsidR="00CD4A2C" w:rsidRPr="00CD4A2C" w:rsidRDefault="00CD4A2C" w:rsidP="00CD4A2C">
      <w:pPr>
        <w:pStyle w:val="Prrafodelista"/>
        <w:numPr>
          <w:ilvl w:val="0"/>
          <w:numId w:val="26"/>
        </w:numPr>
        <w:spacing w:after="0" w:line="240" w:lineRule="auto"/>
        <w:jc w:val="both"/>
        <w:rPr>
          <w:rFonts w:cs="Arial"/>
          <w:sz w:val="24"/>
          <w:szCs w:val="24"/>
          <w:lang w:val="es-ES"/>
        </w:rPr>
      </w:pPr>
      <w:r w:rsidRPr="00CD4A2C">
        <w:rPr>
          <w:rFonts w:cs="Arial"/>
          <w:sz w:val="24"/>
          <w:szCs w:val="24"/>
          <w:lang w:val="es-ES"/>
        </w:rPr>
        <w:t>El área que generó, obtuvo, adquirió, transformó y/o conserve la información;</w:t>
      </w:r>
    </w:p>
    <w:p w:rsidR="00CD4A2C" w:rsidRPr="00CD4A2C" w:rsidRDefault="00CD4A2C" w:rsidP="00CD4A2C">
      <w:pPr>
        <w:pStyle w:val="Prrafodelista"/>
        <w:numPr>
          <w:ilvl w:val="0"/>
          <w:numId w:val="26"/>
        </w:numPr>
        <w:spacing w:after="0" w:line="240" w:lineRule="auto"/>
        <w:jc w:val="both"/>
        <w:rPr>
          <w:rFonts w:cs="Arial"/>
          <w:sz w:val="24"/>
          <w:szCs w:val="24"/>
          <w:lang w:val="es-ES"/>
        </w:rPr>
      </w:pPr>
      <w:r w:rsidRPr="00CD4A2C">
        <w:rPr>
          <w:rFonts w:cs="Arial"/>
          <w:sz w:val="24"/>
          <w:szCs w:val="24"/>
          <w:lang w:val="es-ES"/>
        </w:rPr>
        <w:t>El nombre del documento;</w:t>
      </w:r>
    </w:p>
    <w:p w:rsidR="00CD4A2C" w:rsidRPr="00CD4A2C" w:rsidRDefault="00CD4A2C" w:rsidP="00CD4A2C">
      <w:pPr>
        <w:pStyle w:val="Prrafodelista"/>
        <w:numPr>
          <w:ilvl w:val="0"/>
          <w:numId w:val="26"/>
        </w:numPr>
        <w:spacing w:after="0" w:line="240" w:lineRule="auto"/>
        <w:jc w:val="both"/>
        <w:rPr>
          <w:rFonts w:cs="Arial"/>
          <w:sz w:val="24"/>
          <w:szCs w:val="24"/>
          <w:lang w:val="es-ES"/>
        </w:rPr>
      </w:pPr>
      <w:r w:rsidRPr="00CD4A2C">
        <w:rPr>
          <w:rFonts w:cs="Arial"/>
          <w:sz w:val="24"/>
          <w:szCs w:val="24"/>
          <w:lang w:val="es-ES"/>
        </w:rPr>
        <w:t>Fracción del numeral séptimo de los presentes lineamientos que da origen a la reserva;</w:t>
      </w:r>
    </w:p>
    <w:p w:rsidR="00CD4A2C" w:rsidRPr="00CD4A2C" w:rsidRDefault="00CD4A2C" w:rsidP="00CD4A2C">
      <w:pPr>
        <w:pStyle w:val="Prrafodelista"/>
        <w:numPr>
          <w:ilvl w:val="0"/>
          <w:numId w:val="26"/>
        </w:numPr>
        <w:spacing w:after="0" w:line="240" w:lineRule="auto"/>
        <w:jc w:val="both"/>
        <w:rPr>
          <w:rFonts w:cs="Arial"/>
          <w:sz w:val="24"/>
          <w:szCs w:val="24"/>
          <w:lang w:val="es-ES"/>
        </w:rPr>
      </w:pPr>
      <w:r w:rsidRPr="00CD4A2C">
        <w:rPr>
          <w:rFonts w:cs="Arial"/>
          <w:sz w:val="24"/>
          <w:szCs w:val="24"/>
          <w:lang w:val="es-ES"/>
        </w:rPr>
        <w:t>La fecha de clasificación;</w:t>
      </w:r>
    </w:p>
    <w:p w:rsidR="00CD4A2C" w:rsidRPr="00CD4A2C" w:rsidRDefault="00CD4A2C" w:rsidP="00CD4A2C">
      <w:pPr>
        <w:pStyle w:val="Prrafodelista"/>
        <w:numPr>
          <w:ilvl w:val="0"/>
          <w:numId w:val="26"/>
        </w:numPr>
        <w:spacing w:after="0" w:line="240" w:lineRule="auto"/>
        <w:jc w:val="both"/>
        <w:rPr>
          <w:rFonts w:cs="Arial"/>
          <w:sz w:val="24"/>
          <w:szCs w:val="24"/>
          <w:lang w:val="es-ES"/>
        </w:rPr>
      </w:pPr>
      <w:r w:rsidRPr="00CD4A2C">
        <w:rPr>
          <w:rFonts w:cs="Arial"/>
          <w:sz w:val="24"/>
          <w:szCs w:val="24"/>
          <w:lang w:val="es-ES"/>
        </w:rPr>
        <w:t>El fundamento legal de la clasificación;</w:t>
      </w:r>
    </w:p>
    <w:p w:rsidR="00CD4A2C" w:rsidRPr="00CD4A2C" w:rsidRDefault="00CD4A2C" w:rsidP="00CD4A2C">
      <w:pPr>
        <w:pStyle w:val="Prrafodelista"/>
        <w:numPr>
          <w:ilvl w:val="0"/>
          <w:numId w:val="26"/>
        </w:numPr>
        <w:spacing w:after="0" w:line="240" w:lineRule="auto"/>
        <w:jc w:val="both"/>
        <w:rPr>
          <w:rFonts w:cs="Arial"/>
          <w:sz w:val="24"/>
          <w:szCs w:val="24"/>
          <w:lang w:val="es-ES"/>
        </w:rPr>
      </w:pPr>
      <w:r w:rsidRPr="00CD4A2C">
        <w:rPr>
          <w:rFonts w:cs="Arial"/>
          <w:sz w:val="24"/>
          <w:szCs w:val="24"/>
          <w:lang w:val="es-ES"/>
        </w:rPr>
        <w:t>Razones y motivos de la clasificación;</w:t>
      </w:r>
    </w:p>
    <w:p w:rsidR="00CD4A2C" w:rsidRPr="00CD4A2C" w:rsidRDefault="00CD4A2C" w:rsidP="00CD4A2C">
      <w:pPr>
        <w:pStyle w:val="Prrafodelista"/>
        <w:numPr>
          <w:ilvl w:val="0"/>
          <w:numId w:val="26"/>
        </w:numPr>
        <w:spacing w:after="0" w:line="240" w:lineRule="auto"/>
        <w:jc w:val="both"/>
        <w:rPr>
          <w:rFonts w:cs="Arial"/>
          <w:sz w:val="24"/>
          <w:szCs w:val="24"/>
          <w:lang w:val="es-ES"/>
        </w:rPr>
      </w:pPr>
      <w:r w:rsidRPr="00CD4A2C">
        <w:rPr>
          <w:rFonts w:cs="Arial"/>
          <w:sz w:val="24"/>
          <w:szCs w:val="24"/>
          <w:lang w:val="es-ES"/>
        </w:rPr>
        <w:t>Señalar si se trata de una clasificación completa o parcial;</w:t>
      </w:r>
    </w:p>
    <w:p w:rsidR="00CD4A2C" w:rsidRPr="00CD4A2C" w:rsidRDefault="00CD4A2C" w:rsidP="00CD4A2C">
      <w:pPr>
        <w:pStyle w:val="Prrafodelista"/>
        <w:numPr>
          <w:ilvl w:val="0"/>
          <w:numId w:val="26"/>
        </w:numPr>
        <w:spacing w:after="0" w:line="240" w:lineRule="auto"/>
        <w:jc w:val="both"/>
        <w:rPr>
          <w:rFonts w:cs="Arial"/>
          <w:sz w:val="24"/>
          <w:szCs w:val="24"/>
          <w:lang w:val="es-ES"/>
        </w:rPr>
      </w:pPr>
      <w:r w:rsidRPr="00CD4A2C">
        <w:rPr>
          <w:rFonts w:cs="Arial"/>
          <w:sz w:val="24"/>
          <w:szCs w:val="24"/>
          <w:lang w:val="es-ES"/>
        </w:rPr>
        <w:t>En caso de ser parcial, las partes del documento que son reservadas</w:t>
      </w:r>
    </w:p>
    <w:p w:rsidR="00CD4A2C" w:rsidRPr="00CD4A2C" w:rsidRDefault="00CD4A2C" w:rsidP="00CD4A2C">
      <w:pPr>
        <w:pStyle w:val="Prrafodelista"/>
        <w:numPr>
          <w:ilvl w:val="0"/>
          <w:numId w:val="26"/>
        </w:numPr>
        <w:spacing w:after="0" w:line="240" w:lineRule="auto"/>
        <w:jc w:val="both"/>
        <w:rPr>
          <w:rFonts w:cs="Arial"/>
          <w:sz w:val="24"/>
          <w:szCs w:val="24"/>
          <w:lang w:val="es-ES"/>
        </w:rPr>
      </w:pPr>
      <w:r w:rsidRPr="00CD4A2C">
        <w:rPr>
          <w:rFonts w:cs="Arial"/>
          <w:sz w:val="24"/>
          <w:szCs w:val="24"/>
          <w:lang w:val="es-ES"/>
        </w:rPr>
        <w:t>En su caso, la fecha del acta en donde el Comité de Transparencia confirmó la clasificación;</w:t>
      </w:r>
    </w:p>
    <w:p w:rsidR="00CD4A2C" w:rsidRPr="00CD4A2C" w:rsidRDefault="00CD4A2C" w:rsidP="00CD4A2C">
      <w:pPr>
        <w:pStyle w:val="Prrafodelista"/>
        <w:numPr>
          <w:ilvl w:val="0"/>
          <w:numId w:val="26"/>
        </w:numPr>
        <w:spacing w:after="0" w:line="240" w:lineRule="auto"/>
        <w:jc w:val="both"/>
        <w:rPr>
          <w:rFonts w:cs="Arial"/>
          <w:sz w:val="24"/>
          <w:szCs w:val="24"/>
          <w:lang w:val="es-ES"/>
        </w:rPr>
      </w:pPr>
      <w:r w:rsidRPr="00CD4A2C">
        <w:rPr>
          <w:rFonts w:cs="Arial"/>
          <w:sz w:val="24"/>
          <w:szCs w:val="24"/>
          <w:lang w:val="es-ES"/>
        </w:rPr>
        <w:t>El plazo de reserva y si se encuentra o no en prórroga;</w:t>
      </w:r>
    </w:p>
    <w:p w:rsidR="00CD4A2C" w:rsidRPr="00CD4A2C" w:rsidRDefault="00CD4A2C" w:rsidP="00CD4A2C">
      <w:pPr>
        <w:pStyle w:val="Prrafodelista"/>
        <w:numPr>
          <w:ilvl w:val="0"/>
          <w:numId w:val="26"/>
        </w:numPr>
        <w:spacing w:after="0" w:line="240" w:lineRule="auto"/>
        <w:jc w:val="both"/>
        <w:rPr>
          <w:rFonts w:cs="Arial"/>
          <w:sz w:val="24"/>
          <w:szCs w:val="24"/>
          <w:lang w:val="es-ES"/>
        </w:rPr>
      </w:pPr>
      <w:r w:rsidRPr="00CD4A2C">
        <w:rPr>
          <w:rFonts w:cs="Arial"/>
          <w:sz w:val="24"/>
          <w:szCs w:val="24"/>
          <w:lang w:val="es-ES"/>
        </w:rPr>
        <w:t>La fecha en que culmina el plazo de la clasificación, y</w:t>
      </w:r>
    </w:p>
    <w:p w:rsidR="00CD4A2C" w:rsidRPr="00CD4A2C" w:rsidRDefault="00CD4A2C" w:rsidP="00CD4A2C">
      <w:pPr>
        <w:pStyle w:val="Prrafodelista"/>
        <w:numPr>
          <w:ilvl w:val="0"/>
          <w:numId w:val="26"/>
        </w:numPr>
        <w:spacing w:after="0" w:line="240" w:lineRule="auto"/>
        <w:jc w:val="both"/>
        <w:rPr>
          <w:rFonts w:cs="Arial"/>
          <w:sz w:val="24"/>
          <w:szCs w:val="24"/>
          <w:lang w:val="es-ES"/>
        </w:rPr>
      </w:pPr>
      <w:r w:rsidRPr="00CD4A2C">
        <w:rPr>
          <w:rFonts w:cs="Arial"/>
          <w:sz w:val="24"/>
          <w:szCs w:val="24"/>
          <w:lang w:val="es-ES"/>
        </w:rPr>
        <w:t>Las partes o secciones de los expedientes o documentos que se clasifican.</w:t>
      </w:r>
    </w:p>
    <w:p w:rsidR="00CD4A2C" w:rsidRPr="00F36DFA" w:rsidRDefault="00CD4A2C" w:rsidP="00F36DFA">
      <w:pPr>
        <w:spacing w:after="0" w:line="240" w:lineRule="auto"/>
        <w:ind w:left="567"/>
        <w:jc w:val="both"/>
        <w:rPr>
          <w:rFonts w:cs="Arial"/>
          <w:sz w:val="24"/>
          <w:szCs w:val="24"/>
          <w:lang w:val="es-ES"/>
        </w:rPr>
      </w:pPr>
    </w:p>
    <w:p w:rsidR="00036FFE" w:rsidRPr="00F36DFA" w:rsidRDefault="00036FFE" w:rsidP="00F36DFA">
      <w:pPr>
        <w:spacing w:after="0" w:line="240" w:lineRule="auto"/>
        <w:ind w:left="567"/>
        <w:jc w:val="both"/>
        <w:rPr>
          <w:rFonts w:cs="Arial"/>
          <w:sz w:val="24"/>
          <w:szCs w:val="24"/>
          <w:lang w:val="es-ES"/>
        </w:rPr>
      </w:pPr>
      <w:r w:rsidRPr="00F36DFA">
        <w:rPr>
          <w:rFonts w:cs="Arial"/>
          <w:b/>
          <w:sz w:val="24"/>
          <w:szCs w:val="24"/>
          <w:lang w:val="es-ES"/>
        </w:rPr>
        <w:t>QUINTO TRANSITORIO.</w:t>
      </w:r>
      <w:r w:rsidRPr="00F36DFA">
        <w:rPr>
          <w:rFonts w:cs="Arial"/>
          <w:sz w:val="24"/>
          <w:szCs w:val="24"/>
          <w:lang w:val="es-ES"/>
        </w:rPr>
        <w:t xml:space="preserve"> Hasta en tanto el Sistema Nacional de Transparencia establezca los lineamientos para la implementación de la Plataforma Nacional y ésta entre en operación, los organismos garantes y los sujetos obligados en el ámbito federal, de las entidades federativas y municipios, realizarán la publicación los índices de expedientes clasificados como reservados y las solicitudes de ampliación del periodo de reserva, a las que se refieren los lineamientos décimo segundo, y trigésimo sexto, respectivamente a través de los medios que determine para tal efecto el Sistema Nacional de Transparencia.</w:t>
      </w:r>
    </w:p>
    <w:p w:rsidR="00036FFE" w:rsidRPr="00F36DFA" w:rsidRDefault="00036FFE" w:rsidP="00F36DFA">
      <w:pPr>
        <w:spacing w:before="60" w:after="60" w:line="240" w:lineRule="auto"/>
        <w:ind w:left="567"/>
        <w:jc w:val="both"/>
        <w:rPr>
          <w:rFonts w:cs="Arial"/>
          <w:sz w:val="24"/>
          <w:szCs w:val="24"/>
          <w:lang w:val="es-ES"/>
        </w:rPr>
      </w:pPr>
      <w:r w:rsidRPr="00F36DFA">
        <w:rPr>
          <w:rFonts w:cs="Arial"/>
          <w:sz w:val="24"/>
          <w:szCs w:val="24"/>
          <w:u w:val="single"/>
          <w:lang w:val="es-ES"/>
        </w:rPr>
        <w:t>La primera publicación de los índices de expedientes clasificados como reservados</w:t>
      </w:r>
      <w:r w:rsidRPr="00F36DFA">
        <w:rPr>
          <w:rFonts w:cs="Arial"/>
          <w:sz w:val="24"/>
          <w:szCs w:val="24"/>
          <w:lang w:val="es-ES"/>
        </w:rPr>
        <w:t xml:space="preserve">, que deberá efectuarse de conformidad con la Ley General de Transparencia y Acceso a la Información Pública, y los Lineamientos generales en materia de clasificación y desclasificación de la información, así como para la elaboración de versiones públicas; </w:t>
      </w:r>
      <w:r w:rsidRPr="00F36DFA">
        <w:rPr>
          <w:rFonts w:cs="Arial"/>
          <w:sz w:val="24"/>
          <w:szCs w:val="24"/>
          <w:u w:val="single"/>
          <w:lang w:val="es-ES"/>
        </w:rPr>
        <w:t xml:space="preserve">se realizará en enero de 2017 </w:t>
      </w:r>
      <w:r w:rsidRPr="00F36DFA">
        <w:rPr>
          <w:rFonts w:cs="Arial"/>
          <w:sz w:val="24"/>
          <w:szCs w:val="24"/>
          <w:lang w:val="es-ES"/>
        </w:rPr>
        <w:t>e incluirá la información comprendida de mayo de 2016 a diciembre del mismo año.</w:t>
      </w:r>
    </w:p>
    <w:p w:rsidR="00D45D5D" w:rsidRDefault="00036FFE" w:rsidP="00AE08D4">
      <w:pPr>
        <w:spacing w:after="0" w:line="240" w:lineRule="auto"/>
        <w:ind w:left="567"/>
        <w:jc w:val="both"/>
        <w:rPr>
          <w:rFonts w:cs="Arial"/>
          <w:sz w:val="24"/>
          <w:szCs w:val="24"/>
          <w:u w:val="single"/>
          <w:lang w:val="es-ES"/>
        </w:rPr>
      </w:pPr>
      <w:r w:rsidRPr="00F36DFA">
        <w:rPr>
          <w:rFonts w:cs="Arial"/>
          <w:sz w:val="24"/>
          <w:szCs w:val="24"/>
          <w:u w:val="single"/>
          <w:lang w:val="es-ES"/>
        </w:rPr>
        <w:t>Dicha publicación deberá realizarse de conformidad con el procedimiento que se disponga en los Lineamientos para la implementación y operación de la Plataforma Nacional de Transparencia.</w:t>
      </w:r>
    </w:p>
    <w:p w:rsidR="00D90C6E" w:rsidRDefault="00D90C6E" w:rsidP="00AE08D4">
      <w:pPr>
        <w:spacing w:after="0" w:line="240" w:lineRule="auto"/>
        <w:ind w:left="567"/>
        <w:jc w:val="both"/>
        <w:rPr>
          <w:rFonts w:cs="Arial"/>
          <w:sz w:val="24"/>
          <w:szCs w:val="24"/>
          <w:u w:val="single"/>
          <w:lang w:val="es-ES"/>
        </w:rPr>
      </w:pPr>
    </w:p>
    <w:p w:rsidR="00D90C6E" w:rsidRDefault="00D90C6E">
      <w:pPr>
        <w:rPr>
          <w:rFonts w:cs="Arial"/>
          <w:sz w:val="24"/>
          <w:szCs w:val="24"/>
          <w:u w:val="single"/>
          <w:lang w:val="es-ES"/>
        </w:rPr>
      </w:pPr>
      <w:r>
        <w:rPr>
          <w:rFonts w:cs="Arial"/>
          <w:sz w:val="24"/>
          <w:szCs w:val="24"/>
          <w:u w:val="single"/>
          <w:lang w:val="es-ES"/>
        </w:rPr>
        <w:br w:type="page"/>
      </w:r>
    </w:p>
    <w:p w:rsidR="00D90C6E" w:rsidRPr="00D90C6E" w:rsidRDefault="00D90C6E" w:rsidP="00D90C6E">
      <w:pPr>
        <w:shd w:val="clear" w:color="auto" w:fill="D9D9D9" w:themeFill="background1" w:themeFillShade="D9"/>
        <w:spacing w:after="0" w:line="240" w:lineRule="auto"/>
        <w:jc w:val="both"/>
        <w:rPr>
          <w:rFonts w:cs="Arial"/>
          <w:sz w:val="24"/>
          <w:szCs w:val="24"/>
          <w:lang w:val="es-ES"/>
        </w:rPr>
      </w:pPr>
      <w:r w:rsidRPr="00D90C6E">
        <w:rPr>
          <w:rFonts w:cs="Arial"/>
          <w:b/>
          <w:sz w:val="24"/>
          <w:szCs w:val="24"/>
          <w:lang w:val="es-ES"/>
        </w:rPr>
        <w:lastRenderedPageBreak/>
        <w:t xml:space="preserve">Lineamientos </w:t>
      </w:r>
      <w:r w:rsidRPr="00D90C6E">
        <w:rPr>
          <w:rFonts w:cs="Arial"/>
          <w:sz w:val="24"/>
          <w:szCs w:val="24"/>
          <w:lang w:val="es-ES"/>
        </w:rPr>
        <w:t>para la implementación y operación de la</w:t>
      </w:r>
      <w:r w:rsidRPr="00D90C6E">
        <w:rPr>
          <w:rFonts w:cs="Arial"/>
          <w:b/>
          <w:sz w:val="24"/>
          <w:szCs w:val="24"/>
          <w:lang w:val="es-ES"/>
        </w:rPr>
        <w:t xml:space="preserve"> Plataforma Nacional de Transparencia </w:t>
      </w:r>
      <w:r w:rsidRPr="00D90C6E">
        <w:rPr>
          <w:rFonts w:cs="Arial"/>
          <w:sz w:val="24"/>
          <w:szCs w:val="24"/>
          <w:lang w:val="es-ES"/>
        </w:rPr>
        <w:t>numerales Segundo, fracción XXII; Sexto; Octavo; Trigésimo Séptimo y Centésimo Trigésimo Octavo</w:t>
      </w:r>
    </w:p>
    <w:p w:rsidR="00D90C6E" w:rsidRDefault="00D90C6E" w:rsidP="00D90C6E">
      <w:pPr>
        <w:spacing w:after="0" w:line="240" w:lineRule="auto"/>
        <w:jc w:val="both"/>
        <w:rPr>
          <w:rFonts w:cs="Arial"/>
          <w:sz w:val="24"/>
          <w:szCs w:val="24"/>
          <w:u w:val="single"/>
          <w:lang w:val="es-ES"/>
        </w:rPr>
      </w:pPr>
    </w:p>
    <w:p w:rsidR="00D90C6E" w:rsidRDefault="00D90C6E" w:rsidP="00D90C6E">
      <w:pPr>
        <w:spacing w:after="0" w:line="240" w:lineRule="auto"/>
        <w:jc w:val="both"/>
        <w:rPr>
          <w:rFonts w:cs="Arial"/>
          <w:sz w:val="24"/>
          <w:szCs w:val="24"/>
          <w:u w:val="single"/>
          <w:lang w:val="es-ES"/>
        </w:rPr>
      </w:pPr>
      <w:r w:rsidRPr="00D90C6E">
        <w:rPr>
          <w:b/>
        </w:rPr>
        <w:t>Segundo</w:t>
      </w:r>
      <w:r>
        <w:t>. Para los efectos de los presentes lineamientos, se entenderá por:</w:t>
      </w:r>
    </w:p>
    <w:p w:rsidR="00D90C6E" w:rsidRDefault="00D90C6E" w:rsidP="00D90C6E">
      <w:pPr>
        <w:spacing w:after="0" w:line="240" w:lineRule="auto"/>
        <w:jc w:val="both"/>
      </w:pPr>
      <w:r w:rsidRPr="00D90C6E">
        <w:rPr>
          <w:b/>
        </w:rPr>
        <w:t xml:space="preserve">XXII. Datos abiertos: </w:t>
      </w:r>
      <w:r>
        <w:t xml:space="preserve">Los datos digitales de carácter público que son accesibles en línea que pueden ser usados, reutilizados y redistribuidos por cualquier interesado y que tienen las siguientes características: </w:t>
      </w:r>
    </w:p>
    <w:p w:rsidR="00D90C6E" w:rsidRDefault="00D90C6E" w:rsidP="00D90C6E">
      <w:pPr>
        <w:pStyle w:val="Prrafodelista"/>
        <w:numPr>
          <w:ilvl w:val="0"/>
          <w:numId w:val="29"/>
        </w:numPr>
        <w:spacing w:after="0" w:line="240" w:lineRule="auto"/>
        <w:jc w:val="both"/>
      </w:pPr>
      <w:r>
        <w:t xml:space="preserve">Accesibles: Los datos están disponibles para la gama más amplia de usuarios, para cualquier propósito; </w:t>
      </w:r>
    </w:p>
    <w:p w:rsidR="00D90C6E" w:rsidRDefault="00D90C6E" w:rsidP="00D90C6E">
      <w:pPr>
        <w:pStyle w:val="Prrafodelista"/>
        <w:numPr>
          <w:ilvl w:val="0"/>
          <w:numId w:val="29"/>
        </w:numPr>
        <w:spacing w:after="0" w:line="240" w:lineRule="auto"/>
        <w:jc w:val="both"/>
      </w:pPr>
      <w:r>
        <w:t xml:space="preserve">Integrales: Contienen el tema que describen a detalle y con los metadatos necesarios; </w:t>
      </w:r>
    </w:p>
    <w:p w:rsidR="00D90C6E" w:rsidRDefault="00D90C6E" w:rsidP="00D90C6E">
      <w:pPr>
        <w:pStyle w:val="Prrafodelista"/>
        <w:numPr>
          <w:ilvl w:val="0"/>
          <w:numId w:val="29"/>
        </w:numPr>
        <w:spacing w:after="0" w:line="240" w:lineRule="auto"/>
        <w:jc w:val="both"/>
      </w:pPr>
      <w:r>
        <w:t xml:space="preserve">Gratuitos: Se obtienen sin entregar a cambio contraprestación alguna; </w:t>
      </w:r>
    </w:p>
    <w:p w:rsidR="00D90C6E" w:rsidRDefault="00D90C6E" w:rsidP="00D90C6E">
      <w:pPr>
        <w:pStyle w:val="Prrafodelista"/>
        <w:numPr>
          <w:ilvl w:val="0"/>
          <w:numId w:val="29"/>
        </w:numPr>
        <w:spacing w:after="0" w:line="240" w:lineRule="auto"/>
        <w:jc w:val="both"/>
      </w:pPr>
      <w:r>
        <w:t xml:space="preserve">No discriminatorios: Los datos están disponibles para cualquier persona, sin necesidad de registro; </w:t>
      </w:r>
    </w:p>
    <w:p w:rsidR="00D90C6E" w:rsidRDefault="00D90C6E" w:rsidP="00D90C6E">
      <w:pPr>
        <w:pStyle w:val="Prrafodelista"/>
        <w:numPr>
          <w:ilvl w:val="0"/>
          <w:numId w:val="29"/>
        </w:numPr>
        <w:spacing w:after="0" w:line="240" w:lineRule="auto"/>
        <w:jc w:val="both"/>
      </w:pPr>
      <w:r>
        <w:t>Oportunos: Son actualizados, periódicamente, conforme se generen;</w:t>
      </w:r>
    </w:p>
    <w:p w:rsidR="00D90C6E" w:rsidRDefault="00D90C6E" w:rsidP="00D90C6E">
      <w:pPr>
        <w:pStyle w:val="Prrafodelista"/>
        <w:numPr>
          <w:ilvl w:val="0"/>
          <w:numId w:val="29"/>
        </w:numPr>
        <w:spacing w:after="0" w:line="240" w:lineRule="auto"/>
        <w:jc w:val="both"/>
      </w:pPr>
      <w:r>
        <w:t>Permanentes: Se conservan en el tiempo, para lo cual, las versiones históricas relevantes para uso público se mantendrán disponibles con identificadores adecuados al efecto;</w:t>
      </w:r>
    </w:p>
    <w:p w:rsidR="00D90C6E" w:rsidRDefault="00D90C6E" w:rsidP="00D90C6E">
      <w:pPr>
        <w:pStyle w:val="Prrafodelista"/>
        <w:numPr>
          <w:ilvl w:val="0"/>
          <w:numId w:val="29"/>
        </w:numPr>
        <w:spacing w:after="0" w:line="240" w:lineRule="auto"/>
        <w:jc w:val="both"/>
      </w:pPr>
      <w:r>
        <w:t xml:space="preserve">Primarios: Provienen de la fuente de origen con el máximo nivel de desagregación posible; </w:t>
      </w:r>
    </w:p>
    <w:p w:rsidR="00D90C6E" w:rsidRDefault="00D90C6E" w:rsidP="00D90C6E">
      <w:pPr>
        <w:pStyle w:val="Prrafodelista"/>
        <w:numPr>
          <w:ilvl w:val="0"/>
          <w:numId w:val="29"/>
        </w:numPr>
        <w:spacing w:after="0" w:line="240" w:lineRule="auto"/>
        <w:jc w:val="both"/>
      </w:pPr>
      <w:r>
        <w:t xml:space="preserve">Legibles por máquinas: Deberán estar estructurados, total o parcialmente, para ser procesados e interpretados por equipos electrónicos de manera automática; </w:t>
      </w:r>
    </w:p>
    <w:p w:rsidR="00D90C6E" w:rsidRDefault="00D90C6E" w:rsidP="00D90C6E">
      <w:pPr>
        <w:pStyle w:val="Prrafodelista"/>
        <w:numPr>
          <w:ilvl w:val="0"/>
          <w:numId w:val="29"/>
        </w:numPr>
        <w:spacing w:after="0" w:line="240" w:lineRule="auto"/>
        <w:jc w:val="both"/>
      </w:pPr>
      <w:r>
        <w:t xml:space="preserve">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w:t>
      </w:r>
    </w:p>
    <w:p w:rsidR="00D90C6E" w:rsidRDefault="00D90C6E" w:rsidP="00D90C6E">
      <w:pPr>
        <w:pStyle w:val="Prrafodelista"/>
        <w:numPr>
          <w:ilvl w:val="0"/>
          <w:numId w:val="29"/>
        </w:numPr>
        <w:spacing w:after="0" w:line="240" w:lineRule="auto"/>
        <w:jc w:val="both"/>
      </w:pPr>
      <w:r>
        <w:t>De libre uso: Citan la fuente de origen como único requerimiento para ser utilizados libremente.</w:t>
      </w:r>
    </w:p>
    <w:p w:rsidR="00D90C6E" w:rsidRDefault="00D90C6E" w:rsidP="00D90C6E">
      <w:pPr>
        <w:spacing w:before="120" w:after="120" w:line="240" w:lineRule="auto"/>
        <w:jc w:val="both"/>
      </w:pPr>
      <w:r w:rsidRPr="00D90C6E">
        <w:rPr>
          <w:b/>
        </w:rPr>
        <w:t>Sexto.</w:t>
      </w:r>
      <w:r>
        <w:t xml:space="preserve"> Los organismos garantes desarrollarán, administrarán, implementarán y pondrán en funcionamiento la Plataforma Nacional que permita cumplir con los procedimientos, obligaciones y disposiciones señaladas en la Ley General para los sujetos obligados y organismos garantes, de conformidad con la normatividad que establezca el Sistema Nacional, atendiendo a las necesidades de accesibilidad de los usuarios.</w:t>
      </w:r>
    </w:p>
    <w:p w:rsidR="00D90C6E" w:rsidRDefault="00D90C6E" w:rsidP="00D90C6E">
      <w:pPr>
        <w:spacing w:after="0" w:line="240" w:lineRule="auto"/>
        <w:jc w:val="both"/>
      </w:pPr>
      <w:r w:rsidRPr="00D90C6E">
        <w:rPr>
          <w:b/>
        </w:rPr>
        <w:t>Octavo.</w:t>
      </w:r>
      <w:r>
        <w:t xml:space="preserve"> Los organismos garantes promoverán la publicación de la información de Datos Abiertos, Accesibles y Editables.</w:t>
      </w:r>
    </w:p>
    <w:p w:rsidR="00D90C6E" w:rsidRPr="00D90C6E" w:rsidRDefault="00D90C6E" w:rsidP="00D90C6E">
      <w:pPr>
        <w:spacing w:before="120" w:after="120" w:line="240" w:lineRule="auto"/>
        <w:jc w:val="both"/>
        <w:rPr>
          <w:b/>
        </w:rPr>
      </w:pPr>
      <w:r w:rsidRPr="00D90C6E">
        <w:rPr>
          <w:b/>
        </w:rPr>
        <w:t xml:space="preserve">Trigésimo séptimo. </w:t>
      </w:r>
      <w:r w:rsidRPr="00D90C6E">
        <w:t>La Plataforma Nacional contará con servicios que permitirán exportar información contenida en ésta por cualquier particular, sujeto obligado u organismo garante que así lo requiera.</w:t>
      </w:r>
    </w:p>
    <w:p w:rsidR="00D90C6E" w:rsidRDefault="00D90C6E" w:rsidP="00D90C6E">
      <w:pPr>
        <w:spacing w:after="0" w:line="240" w:lineRule="auto"/>
        <w:jc w:val="both"/>
      </w:pPr>
      <w:r w:rsidRPr="00D90C6E">
        <w:rPr>
          <w:b/>
        </w:rPr>
        <w:t>Centésimo trigésimo octavo.</w:t>
      </w:r>
      <w:r>
        <w:t xml:space="preserve"> La Comisión de Tecnologías de la Información y Plataforma Nacional de Transparencia del Sistema Nacional de Transparencia y, en su caso los organismos garantes dentro del ámbito de su competencia y nivel de administración, serán los encargados de interpretar los presentes Lineamientos y de resolver cualquier asunto no previsto en los mismos.</w:t>
      </w:r>
    </w:p>
    <w:p w:rsidR="0043356B" w:rsidRDefault="0043356B" w:rsidP="00D90C6E">
      <w:pPr>
        <w:spacing w:after="0" w:line="240" w:lineRule="auto"/>
        <w:jc w:val="both"/>
        <w:rPr>
          <w:rFonts w:cs="Arial"/>
          <w:sz w:val="24"/>
          <w:szCs w:val="24"/>
          <w:u w:val="single"/>
          <w:lang w:val="es-ES"/>
        </w:rPr>
        <w:sectPr w:rsidR="0043356B" w:rsidSect="00600FBB">
          <w:headerReference w:type="default" r:id="rId9"/>
          <w:pgSz w:w="12240" w:h="15840"/>
          <w:pgMar w:top="2410" w:right="1701" w:bottom="1418" w:left="1701" w:header="709" w:footer="709" w:gutter="0"/>
          <w:cols w:space="708"/>
          <w:docGrid w:linePitch="360"/>
        </w:sectPr>
      </w:pPr>
    </w:p>
    <w:p w:rsidR="0043356B" w:rsidRPr="003B46CE" w:rsidRDefault="0043356B" w:rsidP="003B46CE">
      <w:pPr>
        <w:spacing w:line="240" w:lineRule="auto"/>
        <w:rPr>
          <w:rFonts w:cs="Arial"/>
          <w:lang w:val="es-ES"/>
        </w:rPr>
      </w:pPr>
      <w:r w:rsidRPr="003B46CE">
        <w:rPr>
          <w:rFonts w:cs="Arial"/>
          <w:lang w:val="es-ES"/>
        </w:rPr>
        <w:lastRenderedPageBreak/>
        <w:t xml:space="preserve">Con relación al formato </w:t>
      </w:r>
      <w:r w:rsidR="003B46CE">
        <w:rPr>
          <w:rFonts w:cs="Arial"/>
          <w:lang w:val="es-ES"/>
        </w:rPr>
        <w:t xml:space="preserve">de IERC, </w:t>
      </w:r>
      <w:r w:rsidRPr="003B46CE">
        <w:rPr>
          <w:rFonts w:cs="Arial"/>
          <w:lang w:val="es-ES"/>
        </w:rPr>
        <w:t xml:space="preserve">para ser considerado que cumple con las características de </w:t>
      </w:r>
      <w:r w:rsidRPr="003B46CE">
        <w:rPr>
          <w:rFonts w:cs="Arial"/>
          <w:lang w:val="es-ES"/>
        </w:rPr>
        <w:t xml:space="preserve"> datos abiertos</w:t>
      </w:r>
      <w:r w:rsidRPr="003B46CE">
        <w:rPr>
          <w:rFonts w:cs="Arial"/>
          <w:lang w:val="es-ES"/>
        </w:rPr>
        <w:t xml:space="preserve"> se realiza el análisis correspondiente a continuación:</w:t>
      </w:r>
    </w:p>
    <w:p w:rsidR="0043356B" w:rsidRPr="003B46CE" w:rsidRDefault="0043356B" w:rsidP="003B46CE">
      <w:pPr>
        <w:spacing w:line="240" w:lineRule="auto"/>
        <w:jc w:val="both"/>
      </w:pPr>
      <w:r w:rsidRPr="003B46CE">
        <w:t>La Ley General, en la fracción VI de su artículo 3, establece la siguiente definición y características de datos abiertos:</w:t>
      </w:r>
    </w:p>
    <w:p w:rsidR="0043356B" w:rsidRPr="003B46CE" w:rsidRDefault="0043356B" w:rsidP="003B46CE">
      <w:pPr>
        <w:spacing w:after="0" w:line="240" w:lineRule="auto"/>
        <w:ind w:left="567"/>
        <w:jc w:val="both"/>
        <w:rPr>
          <w:i/>
          <w:sz w:val="20"/>
        </w:rPr>
      </w:pPr>
      <w:r w:rsidRPr="003B46CE">
        <w:rPr>
          <w:i/>
          <w:sz w:val="20"/>
        </w:rPr>
        <w:t>“Datos abiertos: Los datos digitales de carácter público que son accesibles en línea que pueden ser usados, reutilizados y redistribuidos por cualquier interesado y que tienen las siguientes características:</w:t>
      </w:r>
    </w:p>
    <w:p w:rsidR="0043356B" w:rsidRPr="003B46CE" w:rsidRDefault="0043356B" w:rsidP="003B46CE">
      <w:pPr>
        <w:spacing w:after="0" w:line="240" w:lineRule="auto"/>
        <w:ind w:left="567"/>
        <w:jc w:val="both"/>
        <w:rPr>
          <w:i/>
          <w:sz w:val="20"/>
        </w:rPr>
      </w:pPr>
      <w:r w:rsidRPr="003B46CE">
        <w:rPr>
          <w:i/>
          <w:sz w:val="20"/>
        </w:rPr>
        <w:t>a) Accesibles: Los datos están disponibles para la gama más amplia de usuarios, para cualquier propósito;</w:t>
      </w:r>
    </w:p>
    <w:p w:rsidR="0043356B" w:rsidRPr="003B46CE" w:rsidRDefault="0043356B" w:rsidP="003B46CE">
      <w:pPr>
        <w:spacing w:after="0" w:line="240" w:lineRule="auto"/>
        <w:ind w:left="567"/>
        <w:jc w:val="both"/>
        <w:rPr>
          <w:i/>
          <w:sz w:val="20"/>
        </w:rPr>
      </w:pPr>
      <w:r w:rsidRPr="003B46CE">
        <w:rPr>
          <w:i/>
          <w:sz w:val="20"/>
        </w:rPr>
        <w:t>b) Integrales: Contienen el tema que describen a detalle y con los metadatos necesarios;</w:t>
      </w:r>
    </w:p>
    <w:p w:rsidR="0043356B" w:rsidRPr="003B46CE" w:rsidRDefault="0043356B" w:rsidP="003B46CE">
      <w:pPr>
        <w:spacing w:after="0" w:line="240" w:lineRule="auto"/>
        <w:ind w:left="567"/>
        <w:jc w:val="both"/>
        <w:rPr>
          <w:i/>
          <w:sz w:val="20"/>
        </w:rPr>
      </w:pPr>
      <w:r w:rsidRPr="003B46CE">
        <w:rPr>
          <w:i/>
          <w:sz w:val="20"/>
        </w:rPr>
        <w:t>c) Gratuitos: Se obtienen sin entregar a cambio contraprestación alguna;</w:t>
      </w:r>
    </w:p>
    <w:p w:rsidR="0043356B" w:rsidRPr="003B46CE" w:rsidRDefault="0043356B" w:rsidP="003B46CE">
      <w:pPr>
        <w:spacing w:after="0" w:line="240" w:lineRule="auto"/>
        <w:ind w:left="567"/>
        <w:jc w:val="both"/>
        <w:rPr>
          <w:i/>
          <w:sz w:val="20"/>
        </w:rPr>
      </w:pPr>
      <w:r w:rsidRPr="003B46CE">
        <w:rPr>
          <w:i/>
          <w:sz w:val="20"/>
        </w:rPr>
        <w:t>d) No discriminatorios: Los datos están disponibles para cualquier persona, sin necesidad de registro;</w:t>
      </w:r>
    </w:p>
    <w:p w:rsidR="0043356B" w:rsidRPr="003B46CE" w:rsidRDefault="0043356B" w:rsidP="003B46CE">
      <w:pPr>
        <w:spacing w:after="0" w:line="240" w:lineRule="auto"/>
        <w:ind w:left="567"/>
        <w:jc w:val="both"/>
        <w:rPr>
          <w:i/>
          <w:sz w:val="20"/>
        </w:rPr>
      </w:pPr>
      <w:r w:rsidRPr="003B46CE">
        <w:rPr>
          <w:i/>
          <w:sz w:val="20"/>
        </w:rPr>
        <w:t>e) Oportunos: Son actualizados, periódicamente, conforme se generen;</w:t>
      </w:r>
    </w:p>
    <w:p w:rsidR="0043356B" w:rsidRPr="003B46CE" w:rsidRDefault="0043356B" w:rsidP="003B46CE">
      <w:pPr>
        <w:spacing w:after="0" w:line="240" w:lineRule="auto"/>
        <w:ind w:left="567"/>
        <w:jc w:val="both"/>
        <w:rPr>
          <w:i/>
          <w:sz w:val="20"/>
        </w:rPr>
      </w:pPr>
      <w:r w:rsidRPr="003B46CE">
        <w:rPr>
          <w:i/>
          <w:sz w:val="20"/>
        </w:rPr>
        <w:t>f) Permanentes: Se conservan en el tiempo, para lo cual, las versiones históricas relevantes para uso público se mantendrán disponibles con identificadores adecuados al efecto;</w:t>
      </w:r>
    </w:p>
    <w:p w:rsidR="0043356B" w:rsidRPr="003B46CE" w:rsidRDefault="0043356B" w:rsidP="003B46CE">
      <w:pPr>
        <w:spacing w:after="0" w:line="240" w:lineRule="auto"/>
        <w:ind w:left="567"/>
        <w:jc w:val="both"/>
        <w:rPr>
          <w:i/>
          <w:sz w:val="20"/>
        </w:rPr>
      </w:pPr>
      <w:r w:rsidRPr="003B46CE">
        <w:rPr>
          <w:i/>
          <w:sz w:val="20"/>
        </w:rPr>
        <w:t>g) Primarios: Provienen de la fuente de origen con el máximo nivel de desagregación posible;</w:t>
      </w:r>
    </w:p>
    <w:p w:rsidR="0043356B" w:rsidRPr="003B46CE" w:rsidRDefault="0043356B" w:rsidP="003B46CE">
      <w:pPr>
        <w:spacing w:after="0" w:line="240" w:lineRule="auto"/>
        <w:ind w:left="567"/>
        <w:jc w:val="both"/>
        <w:rPr>
          <w:i/>
          <w:sz w:val="20"/>
        </w:rPr>
      </w:pPr>
      <w:r w:rsidRPr="003B46CE">
        <w:rPr>
          <w:i/>
          <w:sz w:val="20"/>
        </w:rPr>
        <w:t>h) Legibles por máquinas: Deberán estar estructurados, total o parcialmente, para ser procesados e interpretados por equipos electrónicos de manera automática;</w:t>
      </w:r>
    </w:p>
    <w:p w:rsidR="0043356B" w:rsidRPr="003B46CE" w:rsidRDefault="0043356B" w:rsidP="003B46CE">
      <w:pPr>
        <w:spacing w:after="0" w:line="240" w:lineRule="auto"/>
        <w:ind w:left="567"/>
        <w:jc w:val="both"/>
        <w:rPr>
          <w:i/>
          <w:sz w:val="20"/>
        </w:rPr>
      </w:pPr>
      <w:r w:rsidRPr="003B46CE">
        <w:rPr>
          <w:i/>
          <w:sz w:val="20"/>
        </w:rPr>
        <w:t>i)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rsidR="0043356B" w:rsidRPr="003B46CE" w:rsidRDefault="0043356B" w:rsidP="003B46CE">
      <w:pPr>
        <w:spacing w:after="0" w:line="240" w:lineRule="auto"/>
        <w:ind w:left="567"/>
        <w:jc w:val="both"/>
        <w:rPr>
          <w:i/>
          <w:sz w:val="20"/>
        </w:rPr>
      </w:pPr>
      <w:r w:rsidRPr="003B46CE">
        <w:rPr>
          <w:i/>
          <w:sz w:val="20"/>
        </w:rPr>
        <w:t>j) De libre uso: Citan la fuente de origen como único requerimiento para ser utilizados libremente;”</w:t>
      </w:r>
    </w:p>
    <w:p w:rsidR="003B46CE" w:rsidRDefault="003B46CE" w:rsidP="003B46CE">
      <w:pPr>
        <w:spacing w:after="0" w:line="240" w:lineRule="auto"/>
        <w:jc w:val="both"/>
      </w:pPr>
    </w:p>
    <w:p w:rsidR="0043356B" w:rsidRPr="003B46CE" w:rsidRDefault="0043356B" w:rsidP="003B46CE">
      <w:pPr>
        <w:spacing w:after="0" w:line="240" w:lineRule="auto"/>
        <w:jc w:val="both"/>
      </w:pPr>
      <w:r w:rsidRPr="003B46CE">
        <w:t>Al respecto, cabe puntualizar que “formato abierto” es sólo uno de los atributos necesarios para que la información se considere que se encuentra en datos abiertos, es decir, no se consideran términos equivalentes.</w:t>
      </w:r>
    </w:p>
    <w:p w:rsidR="003B46CE" w:rsidRDefault="003B46CE" w:rsidP="003B46CE">
      <w:pPr>
        <w:spacing w:after="0" w:line="240" w:lineRule="auto"/>
        <w:jc w:val="both"/>
      </w:pPr>
    </w:p>
    <w:p w:rsidR="0043356B" w:rsidRPr="003B46CE" w:rsidRDefault="0043356B" w:rsidP="003B46CE">
      <w:pPr>
        <w:spacing w:line="240" w:lineRule="auto"/>
        <w:jc w:val="both"/>
      </w:pPr>
      <w:r w:rsidRPr="003B46CE">
        <w:t xml:space="preserve">Ahora bien, sobre el formato, se considera que éste </w:t>
      </w:r>
      <w:r w:rsidRPr="003B46CE">
        <w:rPr>
          <w:b/>
          <w:bCs/>
          <w:u w:val="single"/>
        </w:rPr>
        <w:t>cumplir</w:t>
      </w:r>
      <w:r w:rsidRPr="003B46CE">
        <w:rPr>
          <w:b/>
          <w:bCs/>
          <w:u w:val="single"/>
        </w:rPr>
        <w:t>á</w:t>
      </w:r>
      <w:r w:rsidRPr="003B46CE">
        <w:rPr>
          <w:b/>
          <w:bCs/>
          <w:u w:val="single"/>
        </w:rPr>
        <w:t xml:space="preserve"> con las características de datos abiertos</w:t>
      </w:r>
      <w:r w:rsidRPr="003B46CE">
        <w:t>, en los siguientes términos:</w:t>
      </w:r>
    </w:p>
    <w:p w:rsidR="0043356B" w:rsidRPr="003B46CE" w:rsidRDefault="0043356B" w:rsidP="003B46CE">
      <w:pPr>
        <w:pStyle w:val="Prrafodelista"/>
        <w:numPr>
          <w:ilvl w:val="0"/>
          <w:numId w:val="31"/>
        </w:numPr>
        <w:spacing w:line="240" w:lineRule="auto"/>
        <w:jc w:val="both"/>
      </w:pPr>
      <w:r w:rsidRPr="003B46CE">
        <w:rPr>
          <w:b/>
        </w:rPr>
        <w:t>Accesibles</w:t>
      </w:r>
      <w:r w:rsidRPr="003B46CE">
        <w:t xml:space="preserve">: </w:t>
      </w:r>
      <w:r w:rsidRPr="003B46CE">
        <w:t>Al ser</w:t>
      </w:r>
      <w:r w:rsidRPr="003B46CE">
        <w:t xml:space="preserve"> publicado, estará disponible para la gama más amplia de usuarios y para cualquier propósito;</w:t>
      </w:r>
    </w:p>
    <w:p w:rsidR="0043356B" w:rsidRPr="003B46CE" w:rsidRDefault="0043356B" w:rsidP="003B46CE">
      <w:pPr>
        <w:pStyle w:val="Prrafodelista"/>
        <w:numPr>
          <w:ilvl w:val="0"/>
          <w:numId w:val="31"/>
        </w:numPr>
        <w:spacing w:line="240" w:lineRule="auto"/>
        <w:jc w:val="both"/>
      </w:pPr>
      <w:r w:rsidRPr="003B46CE">
        <w:rPr>
          <w:b/>
        </w:rPr>
        <w:t>Integrales</w:t>
      </w:r>
      <w:r w:rsidRPr="003B46CE">
        <w:t>: El formato cumple con esta característica, dado que los rubros (columnas) que servirán para vaciar la información describen a detalle el contexto del expediente y permitirán la asignación de metadatos;</w:t>
      </w:r>
    </w:p>
    <w:p w:rsidR="0043356B" w:rsidRPr="003B46CE" w:rsidRDefault="0043356B" w:rsidP="003B46CE">
      <w:pPr>
        <w:pStyle w:val="Prrafodelista"/>
        <w:numPr>
          <w:ilvl w:val="0"/>
          <w:numId w:val="31"/>
        </w:numPr>
        <w:spacing w:line="240" w:lineRule="auto"/>
        <w:jc w:val="both"/>
      </w:pPr>
      <w:r w:rsidRPr="003B46CE">
        <w:rPr>
          <w:b/>
        </w:rPr>
        <w:t>Gratuitos</w:t>
      </w:r>
      <w:r w:rsidRPr="003B46CE">
        <w:t>: Al ser publicado, la información se podrá obtener sin entregar a cambio contraprestación alguna;</w:t>
      </w:r>
    </w:p>
    <w:p w:rsidR="0043356B" w:rsidRPr="003B46CE" w:rsidRDefault="0043356B" w:rsidP="003B46CE">
      <w:pPr>
        <w:pStyle w:val="Prrafodelista"/>
        <w:numPr>
          <w:ilvl w:val="0"/>
          <w:numId w:val="31"/>
        </w:numPr>
        <w:spacing w:line="240" w:lineRule="auto"/>
        <w:jc w:val="both"/>
      </w:pPr>
      <w:r w:rsidRPr="003B46CE">
        <w:rPr>
          <w:b/>
        </w:rPr>
        <w:t>No discriminatorios</w:t>
      </w:r>
      <w:r w:rsidRPr="003B46CE">
        <w:t>: Al ser publicado, los datos estarán disponibles sin necesidad de registro, dado que este índice es público;</w:t>
      </w:r>
    </w:p>
    <w:p w:rsidR="0043356B" w:rsidRPr="003B46CE" w:rsidRDefault="0043356B" w:rsidP="003B46CE">
      <w:pPr>
        <w:pStyle w:val="Prrafodelista"/>
        <w:numPr>
          <w:ilvl w:val="0"/>
          <w:numId w:val="31"/>
        </w:numPr>
        <w:spacing w:line="240" w:lineRule="auto"/>
        <w:jc w:val="both"/>
      </w:pPr>
      <w:r w:rsidRPr="003B46CE">
        <w:rPr>
          <w:b/>
        </w:rPr>
        <w:t>Oportunos</w:t>
      </w:r>
      <w:r w:rsidRPr="003B46CE">
        <w:t xml:space="preserve">: Al ser publicado, </w:t>
      </w:r>
      <w:r w:rsidRPr="003B46CE">
        <w:t>s</w:t>
      </w:r>
      <w:r w:rsidRPr="003B46CE">
        <w:t xml:space="preserve">u cumplimiento dependerá de la actualización </w:t>
      </w:r>
      <w:r w:rsidRPr="003B46CE">
        <w:t>semestral</w:t>
      </w:r>
      <w:r w:rsidRPr="003B46CE">
        <w:t xml:space="preserve"> que realice cada sujeto obligado. </w:t>
      </w:r>
    </w:p>
    <w:p w:rsidR="0043356B" w:rsidRPr="003B46CE" w:rsidRDefault="0043356B" w:rsidP="003B46CE">
      <w:pPr>
        <w:pStyle w:val="Prrafodelista"/>
        <w:numPr>
          <w:ilvl w:val="0"/>
          <w:numId w:val="31"/>
        </w:numPr>
        <w:spacing w:line="240" w:lineRule="auto"/>
        <w:jc w:val="both"/>
      </w:pPr>
      <w:r w:rsidRPr="003B46CE">
        <w:rPr>
          <w:b/>
        </w:rPr>
        <w:t>Permanentes</w:t>
      </w:r>
      <w:r w:rsidRPr="003B46CE">
        <w:t xml:space="preserve">: </w:t>
      </w:r>
      <w:r w:rsidRPr="003B46CE">
        <w:t>Su</w:t>
      </w:r>
      <w:r w:rsidRPr="003B46CE">
        <w:t xml:space="preserve"> cumplimiento dependerá de que </w:t>
      </w:r>
      <w:r w:rsidRPr="003B46CE">
        <w:t xml:space="preserve">se </w:t>
      </w:r>
      <w:r w:rsidRPr="003B46CE">
        <w:t xml:space="preserve">permita la </w:t>
      </w:r>
      <w:r w:rsidRPr="003B46CE">
        <w:t>consulta de índices anteriores en el futuro.</w:t>
      </w:r>
    </w:p>
    <w:p w:rsidR="0043356B" w:rsidRPr="003B46CE" w:rsidRDefault="0043356B" w:rsidP="003B46CE">
      <w:pPr>
        <w:pStyle w:val="Prrafodelista"/>
        <w:numPr>
          <w:ilvl w:val="0"/>
          <w:numId w:val="31"/>
        </w:numPr>
        <w:spacing w:line="240" w:lineRule="auto"/>
        <w:jc w:val="both"/>
      </w:pPr>
      <w:r w:rsidRPr="003B46CE">
        <w:rPr>
          <w:b/>
        </w:rPr>
        <w:t>Primarios</w:t>
      </w:r>
      <w:r w:rsidRPr="003B46CE">
        <w:t xml:space="preserve">: </w:t>
      </w:r>
      <w:r w:rsidRPr="003B46CE">
        <w:t xml:space="preserve">La </w:t>
      </w:r>
      <w:r w:rsidRPr="003B46CE">
        <w:t xml:space="preserve">información que en éste integre cada sujeto obligado tendrá como origen el expediente reservado, mismo que es la fuente primaria de la información. </w:t>
      </w:r>
    </w:p>
    <w:p w:rsidR="0043356B" w:rsidRPr="003B46CE" w:rsidRDefault="0043356B" w:rsidP="003B46CE">
      <w:pPr>
        <w:pStyle w:val="Prrafodelista"/>
        <w:numPr>
          <w:ilvl w:val="0"/>
          <w:numId w:val="31"/>
        </w:numPr>
        <w:spacing w:line="240" w:lineRule="auto"/>
        <w:jc w:val="both"/>
      </w:pPr>
      <w:r w:rsidRPr="003B46CE">
        <w:rPr>
          <w:b/>
        </w:rPr>
        <w:lastRenderedPageBreak/>
        <w:t>Legibles por máquinas</w:t>
      </w:r>
      <w:r w:rsidRPr="003B46CE">
        <w:t>: El formato cumple con la característica, dado que se encuentra en formato de Excel, cuenta con una estructura que permite su procesamiento e interpretación por equipos electrónicos de manera automática (explotació</w:t>
      </w:r>
      <w:bookmarkStart w:id="0" w:name="_GoBack"/>
      <w:bookmarkEnd w:id="0"/>
      <w:r w:rsidRPr="003B46CE">
        <w:t>n);</w:t>
      </w:r>
    </w:p>
    <w:p w:rsidR="0043356B" w:rsidRPr="003B46CE" w:rsidRDefault="0043356B" w:rsidP="003B46CE">
      <w:pPr>
        <w:pStyle w:val="Prrafodelista"/>
        <w:numPr>
          <w:ilvl w:val="0"/>
          <w:numId w:val="31"/>
        </w:numPr>
        <w:spacing w:line="240" w:lineRule="auto"/>
        <w:jc w:val="both"/>
      </w:pPr>
      <w:r w:rsidRPr="003B46CE">
        <w:rPr>
          <w:b/>
        </w:rPr>
        <w:t>En formatos abiertos</w:t>
      </w:r>
      <w:r w:rsidRPr="003B46CE">
        <w:t xml:space="preserve">: El formato cumple con esta característica, dado que se encuentra en </w:t>
      </w:r>
      <w:r w:rsidRPr="003B46CE">
        <w:t>.</w:t>
      </w:r>
      <w:proofErr w:type="spellStart"/>
      <w:r w:rsidRPr="003B46CE">
        <w:t>ods</w:t>
      </w:r>
      <w:proofErr w:type="spellEnd"/>
      <w:r w:rsidRPr="003B46CE">
        <w:t xml:space="preserve"> (</w:t>
      </w:r>
      <w:proofErr w:type="spellStart"/>
      <w:r w:rsidRPr="003B46CE">
        <w:t>opendocument</w:t>
      </w:r>
      <w:proofErr w:type="spellEnd"/>
      <w:r w:rsidRPr="003B46CE">
        <w:t xml:space="preserve"> </w:t>
      </w:r>
      <w:proofErr w:type="spellStart"/>
      <w:r w:rsidRPr="003B46CE">
        <w:t>spreadsheet</w:t>
      </w:r>
      <w:proofErr w:type="spellEnd"/>
      <w:r w:rsidRPr="003B46CE">
        <w:t>)</w:t>
      </w:r>
      <w:r w:rsidRPr="003B46CE">
        <w:t xml:space="preserve">; </w:t>
      </w:r>
      <w:r w:rsidRPr="003B46CE">
        <w:t>tipo de archivo que</w:t>
      </w:r>
      <w:r w:rsidRPr="003B46CE">
        <w:t xml:space="preserve"> permite su acceso digital y la consulta de características del archivo (tipo de archivo, tamaño, fecha de creación, autor, versión del programa, etc.) sin que medie contraprestación alguna. </w:t>
      </w:r>
    </w:p>
    <w:p w:rsidR="0043356B" w:rsidRPr="003B46CE" w:rsidRDefault="0043356B" w:rsidP="003B46CE">
      <w:pPr>
        <w:pStyle w:val="Prrafodelista"/>
        <w:numPr>
          <w:ilvl w:val="0"/>
          <w:numId w:val="31"/>
        </w:numPr>
        <w:spacing w:line="240" w:lineRule="auto"/>
        <w:jc w:val="both"/>
      </w:pPr>
      <w:r w:rsidRPr="003B46CE">
        <w:rPr>
          <w:b/>
        </w:rPr>
        <w:t>De libre uso</w:t>
      </w:r>
      <w:r w:rsidRPr="003B46CE">
        <w:t xml:space="preserve">: El formato cumple con esta característica, dado que contiene el rubro de “Sujeto Obligado” (fuente de origen). </w:t>
      </w:r>
    </w:p>
    <w:p w:rsidR="0043356B" w:rsidRPr="003B46CE" w:rsidRDefault="0043356B" w:rsidP="003B46CE">
      <w:pPr>
        <w:spacing w:after="0" w:line="240" w:lineRule="auto"/>
        <w:rPr>
          <w:rFonts w:cs="Arial"/>
          <w:lang w:val="es-ES"/>
        </w:rPr>
      </w:pPr>
      <w:r w:rsidRPr="003B46CE">
        <w:rPr>
          <w:rFonts w:cs="Arial"/>
          <w:lang w:val="es-ES"/>
        </w:rPr>
        <w:t>A</w:t>
      </w:r>
      <w:r w:rsidRPr="003B46CE">
        <w:rPr>
          <w:rFonts w:cs="Arial"/>
          <w:lang w:val="es-ES"/>
        </w:rPr>
        <w:t>dicionalmente</w:t>
      </w:r>
      <w:r w:rsidRPr="003B46CE">
        <w:rPr>
          <w:rFonts w:cs="Arial"/>
          <w:lang w:val="es-ES"/>
        </w:rPr>
        <w:t xml:space="preserve"> se incluye</w:t>
      </w:r>
      <w:r w:rsidRPr="003B46CE">
        <w:rPr>
          <w:rFonts w:cs="Arial"/>
          <w:lang w:val="es-ES"/>
        </w:rPr>
        <w:t xml:space="preserve"> información con las definicio</w:t>
      </w:r>
      <w:r w:rsidRPr="003B46CE">
        <w:rPr>
          <w:rFonts w:cs="Arial"/>
          <w:lang w:val="es-ES"/>
        </w:rPr>
        <w:t>nes para cada tipo de documento:</w:t>
      </w:r>
    </w:p>
    <w:p w:rsidR="0043356B" w:rsidRPr="003B46CE" w:rsidRDefault="0043356B" w:rsidP="003B46CE">
      <w:pPr>
        <w:spacing w:after="0" w:line="240" w:lineRule="auto"/>
        <w:rPr>
          <w:rFonts w:cs="Arial"/>
          <w:lang w:val="es-ES"/>
        </w:rPr>
      </w:pPr>
      <w:hyperlink r:id="rId10" w:history="1">
        <w:r w:rsidRPr="003B46CE">
          <w:rPr>
            <w:rStyle w:val="Hipervnculo"/>
            <w:rFonts w:cs="Arial"/>
            <w:color w:val="auto"/>
            <w:lang w:val="es-ES"/>
          </w:rPr>
          <w:t>https://www.oasis-open.org/</w:t>
        </w:r>
      </w:hyperlink>
    </w:p>
    <w:p w:rsidR="0043356B" w:rsidRPr="003B46CE" w:rsidRDefault="0043356B" w:rsidP="003B46CE">
      <w:pPr>
        <w:spacing w:after="0" w:line="240" w:lineRule="auto"/>
        <w:rPr>
          <w:rFonts w:cs="Arial"/>
          <w:lang w:val="es-ES"/>
        </w:rPr>
      </w:pPr>
      <w:hyperlink r:id="rId11" w:history="1">
        <w:r w:rsidRPr="003B46CE">
          <w:rPr>
            <w:rStyle w:val="Hipervnculo"/>
            <w:rFonts w:cs="Arial"/>
            <w:color w:val="auto"/>
            <w:lang w:val="es-ES"/>
          </w:rPr>
          <w:t>http://www.iso.org/iso/catalogue_detail?csnumber=43485</w:t>
        </w:r>
      </w:hyperlink>
    </w:p>
    <w:p w:rsidR="0043356B" w:rsidRDefault="0043356B" w:rsidP="003B46CE">
      <w:pPr>
        <w:spacing w:after="0" w:line="240" w:lineRule="auto"/>
        <w:rPr>
          <w:rFonts w:cs="Arial"/>
          <w:lang w:val="es-ES"/>
        </w:rPr>
      </w:pPr>
      <w:hyperlink r:id="rId12" w:history="1">
        <w:r w:rsidRPr="003B46CE">
          <w:rPr>
            <w:rStyle w:val="Hipervnculo"/>
            <w:rFonts w:cs="Arial"/>
            <w:color w:val="auto"/>
            <w:lang w:val="es-ES"/>
          </w:rPr>
          <w:t>https://es.wikipedia.org/wiki/OpenDocument</w:t>
        </w:r>
      </w:hyperlink>
    </w:p>
    <w:p w:rsidR="003B46CE" w:rsidRPr="003B46CE" w:rsidRDefault="003B46CE" w:rsidP="003B46CE">
      <w:pPr>
        <w:spacing w:after="0" w:line="240" w:lineRule="auto"/>
        <w:rPr>
          <w:rFonts w:cs="Arial"/>
          <w:lang w:val="es-ES"/>
        </w:rPr>
      </w:pPr>
    </w:p>
    <w:tbl>
      <w:tblPr>
        <w:tblW w:w="0" w:type="auto"/>
        <w:jc w:val="center"/>
        <w:shd w:val="clear" w:color="auto" w:fill="FFFFFF"/>
        <w:tblCellMar>
          <w:left w:w="0" w:type="dxa"/>
          <w:right w:w="0" w:type="dxa"/>
        </w:tblCellMar>
        <w:tblLook w:val="04A0" w:firstRow="1" w:lastRow="0" w:firstColumn="1" w:lastColumn="0" w:noHBand="0" w:noVBand="1"/>
      </w:tblPr>
      <w:tblGrid>
        <w:gridCol w:w="1889"/>
        <w:gridCol w:w="922"/>
        <w:gridCol w:w="4567"/>
      </w:tblGrid>
      <w:tr w:rsidR="003B46CE" w:rsidRPr="003B46CE" w:rsidTr="003B46CE">
        <w:trPr>
          <w:jc w:val="center"/>
        </w:trPr>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jc w:val="center"/>
              <w:rPr>
                <w:rFonts w:cs="Arial"/>
                <w:b/>
                <w:bCs/>
              </w:rPr>
            </w:pPr>
            <w:r w:rsidRPr="003B46CE">
              <w:rPr>
                <w:rFonts w:cs="Arial"/>
                <w:b/>
                <w:bCs/>
              </w:rPr>
              <w:t>Tipo de formato</w:t>
            </w:r>
          </w:p>
        </w:tc>
        <w:tc>
          <w:tcPr>
            <w:tcW w:w="0" w:type="auto"/>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jc w:val="center"/>
              <w:rPr>
                <w:rFonts w:cs="Arial"/>
                <w:b/>
                <w:bCs/>
              </w:rPr>
            </w:pPr>
            <w:r w:rsidRPr="003B46CE">
              <w:rPr>
                <w:rFonts w:cs="Arial"/>
                <w:b/>
                <w:bCs/>
              </w:rPr>
              <w:t>Extensión</w:t>
            </w:r>
          </w:p>
        </w:tc>
        <w:tc>
          <w:tcPr>
            <w:tcW w:w="0" w:type="auto"/>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jc w:val="center"/>
              <w:rPr>
                <w:rFonts w:cs="Arial"/>
                <w:b/>
                <w:bCs/>
              </w:rPr>
            </w:pPr>
            <w:r w:rsidRPr="003B46CE">
              <w:rPr>
                <w:rFonts w:cs="Arial"/>
                <w:b/>
                <w:bCs/>
              </w:rPr>
              <w:t>Tipo de</w:t>
            </w:r>
            <w:r w:rsidRPr="003B46CE">
              <w:rPr>
                <w:rFonts w:cs="Arial"/>
                <w:b/>
                <w:bCs/>
              </w:rPr>
              <w:t> MIME</w:t>
            </w:r>
          </w:p>
        </w:tc>
      </w:tr>
      <w:tr w:rsidR="003B46CE" w:rsidRPr="003B46CE" w:rsidTr="003B46CE">
        <w:trPr>
          <w:jc w:val="center"/>
        </w:trPr>
        <w:tc>
          <w:tcPr>
            <w:tcW w:w="0" w:type="auto"/>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r w:rsidRPr="003B46CE">
              <w:rPr>
                <w:rFonts w:cs="Arial"/>
              </w:rPr>
              <w:t>Texto</w:t>
            </w: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r w:rsidRPr="003B46CE">
              <w:rPr>
                <w:rStyle w:val="MquinadeescribirHTML"/>
                <w:rFonts w:asciiTheme="minorHAnsi" w:hAnsiTheme="minorHAnsi"/>
                <w:sz w:val="22"/>
                <w:szCs w:val="22"/>
              </w:rPr>
              <w:t>.</w:t>
            </w:r>
            <w:proofErr w:type="spellStart"/>
            <w:r w:rsidRPr="003B46CE">
              <w:rPr>
                <w:rStyle w:val="MquinadeescribirHTML"/>
                <w:rFonts w:asciiTheme="minorHAnsi" w:hAnsiTheme="minorHAnsi"/>
                <w:sz w:val="22"/>
                <w:szCs w:val="22"/>
              </w:rPr>
              <w:t>odt</w:t>
            </w:r>
            <w:proofErr w:type="spellEnd"/>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proofErr w:type="spellStart"/>
            <w:r w:rsidRPr="003B46CE">
              <w:rPr>
                <w:rStyle w:val="MquinadeescribirHTML"/>
                <w:rFonts w:asciiTheme="minorHAnsi" w:hAnsiTheme="minorHAnsi"/>
                <w:sz w:val="22"/>
                <w:szCs w:val="22"/>
              </w:rPr>
              <w:t>application</w:t>
            </w:r>
            <w:proofErr w:type="spellEnd"/>
            <w:r w:rsidRPr="003B46CE">
              <w:rPr>
                <w:rStyle w:val="MquinadeescribirHTML"/>
                <w:rFonts w:asciiTheme="minorHAnsi" w:hAnsiTheme="minorHAnsi"/>
                <w:sz w:val="22"/>
                <w:szCs w:val="22"/>
              </w:rPr>
              <w:t>/</w:t>
            </w:r>
            <w:proofErr w:type="spellStart"/>
            <w:r w:rsidRPr="003B46CE">
              <w:rPr>
                <w:rStyle w:val="MquinadeescribirHTML"/>
                <w:rFonts w:asciiTheme="minorHAnsi" w:hAnsiTheme="minorHAnsi"/>
                <w:sz w:val="22"/>
                <w:szCs w:val="22"/>
              </w:rPr>
              <w:t>vnd.oasis.opendocument.text</w:t>
            </w:r>
            <w:proofErr w:type="spellEnd"/>
          </w:p>
        </w:tc>
      </w:tr>
      <w:tr w:rsidR="003B46CE" w:rsidRPr="003B46CE" w:rsidTr="003B46CE">
        <w:trPr>
          <w:jc w:val="center"/>
        </w:trPr>
        <w:tc>
          <w:tcPr>
            <w:tcW w:w="0" w:type="auto"/>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r w:rsidRPr="003B46CE">
              <w:rPr>
                <w:rFonts w:cs="Arial"/>
              </w:rPr>
              <w:t>Hoja de cálculo</w:t>
            </w: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r w:rsidRPr="003B46CE">
              <w:rPr>
                <w:rStyle w:val="MquinadeescribirHTML"/>
                <w:rFonts w:asciiTheme="minorHAnsi" w:hAnsiTheme="minorHAnsi"/>
                <w:sz w:val="22"/>
                <w:szCs w:val="22"/>
              </w:rPr>
              <w:t>.</w:t>
            </w:r>
            <w:proofErr w:type="spellStart"/>
            <w:r w:rsidRPr="003B46CE">
              <w:rPr>
                <w:rStyle w:val="MquinadeescribirHTML"/>
                <w:rFonts w:asciiTheme="minorHAnsi" w:hAnsiTheme="minorHAnsi"/>
                <w:sz w:val="22"/>
                <w:szCs w:val="22"/>
              </w:rPr>
              <w:t>ods</w:t>
            </w:r>
            <w:proofErr w:type="spellEnd"/>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proofErr w:type="spellStart"/>
            <w:r w:rsidRPr="003B46CE">
              <w:rPr>
                <w:rStyle w:val="MquinadeescribirHTML"/>
                <w:rFonts w:asciiTheme="minorHAnsi" w:hAnsiTheme="minorHAnsi"/>
                <w:sz w:val="22"/>
                <w:szCs w:val="22"/>
              </w:rPr>
              <w:t>application</w:t>
            </w:r>
            <w:proofErr w:type="spellEnd"/>
            <w:r w:rsidRPr="003B46CE">
              <w:rPr>
                <w:rStyle w:val="MquinadeescribirHTML"/>
                <w:rFonts w:asciiTheme="minorHAnsi" w:hAnsiTheme="minorHAnsi"/>
                <w:sz w:val="22"/>
                <w:szCs w:val="22"/>
              </w:rPr>
              <w:t>/</w:t>
            </w:r>
            <w:proofErr w:type="spellStart"/>
            <w:r w:rsidRPr="003B46CE">
              <w:rPr>
                <w:rStyle w:val="MquinadeescribirHTML"/>
                <w:rFonts w:asciiTheme="minorHAnsi" w:hAnsiTheme="minorHAnsi"/>
                <w:sz w:val="22"/>
                <w:szCs w:val="22"/>
              </w:rPr>
              <w:t>vnd.oasis.opendocument.spreadsheet</w:t>
            </w:r>
            <w:proofErr w:type="spellEnd"/>
          </w:p>
        </w:tc>
      </w:tr>
      <w:tr w:rsidR="003B46CE" w:rsidRPr="003B46CE" w:rsidTr="003B46CE">
        <w:trPr>
          <w:jc w:val="center"/>
        </w:trPr>
        <w:tc>
          <w:tcPr>
            <w:tcW w:w="0" w:type="auto"/>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r w:rsidRPr="003B46CE">
              <w:rPr>
                <w:rFonts w:cs="Arial"/>
              </w:rPr>
              <w:t>Presentación</w:t>
            </w: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r w:rsidRPr="003B46CE">
              <w:rPr>
                <w:rStyle w:val="MquinadeescribirHTML"/>
                <w:rFonts w:asciiTheme="minorHAnsi" w:hAnsiTheme="minorHAnsi"/>
                <w:sz w:val="22"/>
                <w:szCs w:val="22"/>
              </w:rPr>
              <w:t>.</w:t>
            </w:r>
            <w:proofErr w:type="spellStart"/>
            <w:r w:rsidRPr="003B46CE">
              <w:rPr>
                <w:rStyle w:val="MquinadeescribirHTML"/>
                <w:rFonts w:asciiTheme="minorHAnsi" w:hAnsiTheme="minorHAnsi"/>
                <w:sz w:val="22"/>
                <w:szCs w:val="22"/>
              </w:rPr>
              <w:t>odp</w:t>
            </w:r>
            <w:proofErr w:type="spellEnd"/>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proofErr w:type="spellStart"/>
            <w:r w:rsidRPr="003B46CE">
              <w:rPr>
                <w:rStyle w:val="MquinadeescribirHTML"/>
                <w:rFonts w:asciiTheme="minorHAnsi" w:hAnsiTheme="minorHAnsi"/>
                <w:sz w:val="22"/>
                <w:szCs w:val="22"/>
              </w:rPr>
              <w:t>application</w:t>
            </w:r>
            <w:proofErr w:type="spellEnd"/>
            <w:r w:rsidRPr="003B46CE">
              <w:rPr>
                <w:rStyle w:val="MquinadeescribirHTML"/>
                <w:rFonts w:asciiTheme="minorHAnsi" w:hAnsiTheme="minorHAnsi"/>
                <w:sz w:val="22"/>
                <w:szCs w:val="22"/>
              </w:rPr>
              <w:t>/</w:t>
            </w:r>
            <w:proofErr w:type="spellStart"/>
            <w:r w:rsidRPr="003B46CE">
              <w:rPr>
                <w:rStyle w:val="MquinadeescribirHTML"/>
                <w:rFonts w:asciiTheme="minorHAnsi" w:hAnsiTheme="minorHAnsi"/>
                <w:sz w:val="22"/>
                <w:szCs w:val="22"/>
              </w:rPr>
              <w:t>vnd.oasis.opendocument.presentation</w:t>
            </w:r>
            <w:proofErr w:type="spellEnd"/>
          </w:p>
        </w:tc>
      </w:tr>
      <w:tr w:rsidR="003B46CE" w:rsidRPr="003B46CE" w:rsidTr="003B46CE">
        <w:trPr>
          <w:jc w:val="center"/>
        </w:trPr>
        <w:tc>
          <w:tcPr>
            <w:tcW w:w="0" w:type="auto"/>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r w:rsidRPr="003B46CE">
              <w:rPr>
                <w:rFonts w:cs="Arial"/>
              </w:rPr>
              <w:t>Dibujo</w:t>
            </w: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r w:rsidRPr="003B46CE">
              <w:rPr>
                <w:rStyle w:val="MquinadeescribirHTML"/>
                <w:rFonts w:asciiTheme="minorHAnsi" w:hAnsiTheme="minorHAnsi"/>
                <w:sz w:val="22"/>
                <w:szCs w:val="22"/>
              </w:rPr>
              <w:t>.</w:t>
            </w:r>
            <w:proofErr w:type="spellStart"/>
            <w:r w:rsidRPr="003B46CE">
              <w:rPr>
                <w:rStyle w:val="MquinadeescribirHTML"/>
                <w:rFonts w:asciiTheme="minorHAnsi" w:hAnsiTheme="minorHAnsi"/>
                <w:sz w:val="22"/>
                <w:szCs w:val="22"/>
              </w:rPr>
              <w:t>odg</w:t>
            </w:r>
            <w:proofErr w:type="spellEnd"/>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proofErr w:type="spellStart"/>
            <w:r w:rsidRPr="003B46CE">
              <w:rPr>
                <w:rStyle w:val="MquinadeescribirHTML"/>
                <w:rFonts w:asciiTheme="minorHAnsi" w:hAnsiTheme="minorHAnsi"/>
                <w:sz w:val="22"/>
                <w:szCs w:val="22"/>
              </w:rPr>
              <w:t>application</w:t>
            </w:r>
            <w:proofErr w:type="spellEnd"/>
            <w:r w:rsidRPr="003B46CE">
              <w:rPr>
                <w:rStyle w:val="MquinadeescribirHTML"/>
                <w:rFonts w:asciiTheme="minorHAnsi" w:hAnsiTheme="minorHAnsi"/>
                <w:sz w:val="22"/>
                <w:szCs w:val="22"/>
              </w:rPr>
              <w:t>/</w:t>
            </w:r>
            <w:proofErr w:type="spellStart"/>
            <w:r w:rsidRPr="003B46CE">
              <w:rPr>
                <w:rStyle w:val="MquinadeescribirHTML"/>
                <w:rFonts w:asciiTheme="minorHAnsi" w:hAnsiTheme="minorHAnsi"/>
                <w:sz w:val="22"/>
                <w:szCs w:val="22"/>
              </w:rPr>
              <w:t>vnd.oasis.opendocument.graphics</w:t>
            </w:r>
            <w:proofErr w:type="spellEnd"/>
          </w:p>
        </w:tc>
      </w:tr>
      <w:tr w:rsidR="003B46CE" w:rsidRPr="003B46CE" w:rsidTr="003B46CE">
        <w:trPr>
          <w:jc w:val="center"/>
        </w:trPr>
        <w:tc>
          <w:tcPr>
            <w:tcW w:w="0" w:type="auto"/>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r w:rsidRPr="003B46CE">
              <w:rPr>
                <w:rFonts w:cs="Arial"/>
              </w:rPr>
              <w:t>Gráfica</w:t>
            </w: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r w:rsidRPr="003B46CE">
              <w:rPr>
                <w:rStyle w:val="MquinadeescribirHTML"/>
                <w:rFonts w:asciiTheme="minorHAnsi" w:hAnsiTheme="minorHAnsi"/>
                <w:sz w:val="22"/>
                <w:szCs w:val="22"/>
              </w:rPr>
              <w:t>.</w:t>
            </w:r>
            <w:proofErr w:type="spellStart"/>
            <w:r w:rsidRPr="003B46CE">
              <w:rPr>
                <w:rStyle w:val="MquinadeescribirHTML"/>
                <w:rFonts w:asciiTheme="minorHAnsi" w:hAnsiTheme="minorHAnsi"/>
                <w:sz w:val="22"/>
                <w:szCs w:val="22"/>
              </w:rPr>
              <w:t>odc</w:t>
            </w:r>
            <w:proofErr w:type="spellEnd"/>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proofErr w:type="spellStart"/>
            <w:r w:rsidRPr="003B46CE">
              <w:rPr>
                <w:rStyle w:val="MquinadeescribirHTML"/>
                <w:rFonts w:asciiTheme="minorHAnsi" w:hAnsiTheme="minorHAnsi"/>
                <w:sz w:val="22"/>
                <w:szCs w:val="22"/>
              </w:rPr>
              <w:t>application</w:t>
            </w:r>
            <w:proofErr w:type="spellEnd"/>
            <w:r w:rsidRPr="003B46CE">
              <w:rPr>
                <w:rStyle w:val="MquinadeescribirHTML"/>
                <w:rFonts w:asciiTheme="minorHAnsi" w:hAnsiTheme="minorHAnsi"/>
                <w:sz w:val="22"/>
                <w:szCs w:val="22"/>
              </w:rPr>
              <w:t>/</w:t>
            </w:r>
            <w:proofErr w:type="spellStart"/>
            <w:r w:rsidRPr="003B46CE">
              <w:rPr>
                <w:rStyle w:val="MquinadeescribirHTML"/>
                <w:rFonts w:asciiTheme="minorHAnsi" w:hAnsiTheme="minorHAnsi"/>
                <w:sz w:val="22"/>
                <w:szCs w:val="22"/>
              </w:rPr>
              <w:t>vnd.oasis.opendocument.chart</w:t>
            </w:r>
            <w:proofErr w:type="spellEnd"/>
          </w:p>
        </w:tc>
      </w:tr>
      <w:tr w:rsidR="003B46CE" w:rsidRPr="003B46CE" w:rsidTr="003B46CE">
        <w:trPr>
          <w:jc w:val="center"/>
        </w:trPr>
        <w:tc>
          <w:tcPr>
            <w:tcW w:w="0" w:type="auto"/>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r w:rsidRPr="003B46CE">
              <w:rPr>
                <w:rFonts w:cs="Arial"/>
              </w:rPr>
              <w:t>Fórmula matemática</w:t>
            </w: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r w:rsidRPr="003B46CE">
              <w:rPr>
                <w:rStyle w:val="MquinadeescribirHTML"/>
                <w:rFonts w:asciiTheme="minorHAnsi" w:hAnsiTheme="minorHAnsi"/>
                <w:sz w:val="22"/>
                <w:szCs w:val="22"/>
              </w:rPr>
              <w:t>.</w:t>
            </w:r>
            <w:proofErr w:type="spellStart"/>
            <w:r w:rsidRPr="003B46CE">
              <w:rPr>
                <w:rStyle w:val="MquinadeescribirHTML"/>
                <w:rFonts w:asciiTheme="minorHAnsi" w:hAnsiTheme="minorHAnsi"/>
                <w:sz w:val="22"/>
                <w:szCs w:val="22"/>
              </w:rPr>
              <w:t>odf</w:t>
            </w:r>
            <w:proofErr w:type="spellEnd"/>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proofErr w:type="spellStart"/>
            <w:r w:rsidRPr="003B46CE">
              <w:rPr>
                <w:rStyle w:val="MquinadeescribirHTML"/>
                <w:rFonts w:asciiTheme="minorHAnsi" w:hAnsiTheme="minorHAnsi"/>
                <w:sz w:val="22"/>
                <w:szCs w:val="22"/>
              </w:rPr>
              <w:t>application</w:t>
            </w:r>
            <w:proofErr w:type="spellEnd"/>
            <w:r w:rsidRPr="003B46CE">
              <w:rPr>
                <w:rStyle w:val="MquinadeescribirHTML"/>
                <w:rFonts w:asciiTheme="minorHAnsi" w:hAnsiTheme="minorHAnsi"/>
                <w:sz w:val="22"/>
                <w:szCs w:val="22"/>
              </w:rPr>
              <w:t>/</w:t>
            </w:r>
            <w:proofErr w:type="spellStart"/>
            <w:r w:rsidRPr="003B46CE">
              <w:rPr>
                <w:rStyle w:val="MquinadeescribirHTML"/>
                <w:rFonts w:asciiTheme="minorHAnsi" w:hAnsiTheme="minorHAnsi"/>
                <w:sz w:val="22"/>
                <w:szCs w:val="22"/>
              </w:rPr>
              <w:t>vnd.oasis.opendocument.formula</w:t>
            </w:r>
            <w:proofErr w:type="spellEnd"/>
          </w:p>
        </w:tc>
      </w:tr>
      <w:tr w:rsidR="003B46CE" w:rsidRPr="003B46CE" w:rsidTr="003B46CE">
        <w:trPr>
          <w:jc w:val="center"/>
        </w:trPr>
        <w:tc>
          <w:tcPr>
            <w:tcW w:w="0" w:type="auto"/>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r w:rsidRPr="003B46CE">
              <w:rPr>
                <w:rFonts w:cs="Arial"/>
              </w:rPr>
              <w:t>Base de datos</w:t>
            </w: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r w:rsidRPr="003B46CE">
              <w:rPr>
                <w:rStyle w:val="MquinadeescribirHTML"/>
                <w:rFonts w:asciiTheme="minorHAnsi" w:hAnsiTheme="minorHAnsi"/>
                <w:sz w:val="22"/>
                <w:szCs w:val="22"/>
              </w:rPr>
              <w:t>.</w:t>
            </w:r>
            <w:proofErr w:type="spellStart"/>
            <w:r w:rsidRPr="003B46CE">
              <w:rPr>
                <w:rStyle w:val="MquinadeescribirHTML"/>
                <w:rFonts w:asciiTheme="minorHAnsi" w:hAnsiTheme="minorHAnsi"/>
                <w:sz w:val="22"/>
                <w:szCs w:val="22"/>
              </w:rPr>
              <w:t>odb</w:t>
            </w:r>
            <w:proofErr w:type="spellEnd"/>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proofErr w:type="spellStart"/>
            <w:r w:rsidRPr="003B46CE">
              <w:rPr>
                <w:rStyle w:val="MquinadeescribirHTML"/>
                <w:rFonts w:asciiTheme="minorHAnsi" w:hAnsiTheme="minorHAnsi"/>
                <w:sz w:val="22"/>
                <w:szCs w:val="22"/>
              </w:rPr>
              <w:t>application</w:t>
            </w:r>
            <w:proofErr w:type="spellEnd"/>
            <w:r w:rsidRPr="003B46CE">
              <w:rPr>
                <w:rStyle w:val="MquinadeescribirHTML"/>
                <w:rFonts w:asciiTheme="minorHAnsi" w:hAnsiTheme="minorHAnsi"/>
                <w:sz w:val="22"/>
                <w:szCs w:val="22"/>
              </w:rPr>
              <w:t>/</w:t>
            </w:r>
            <w:proofErr w:type="spellStart"/>
            <w:r w:rsidRPr="003B46CE">
              <w:rPr>
                <w:rStyle w:val="MquinadeescribirHTML"/>
                <w:rFonts w:asciiTheme="minorHAnsi" w:hAnsiTheme="minorHAnsi"/>
                <w:sz w:val="22"/>
                <w:szCs w:val="22"/>
              </w:rPr>
              <w:t>vnd.oasis.opendocument.database</w:t>
            </w:r>
            <w:proofErr w:type="spellEnd"/>
          </w:p>
        </w:tc>
      </w:tr>
      <w:tr w:rsidR="003B46CE" w:rsidRPr="003B46CE" w:rsidTr="003B46CE">
        <w:trPr>
          <w:jc w:val="center"/>
        </w:trPr>
        <w:tc>
          <w:tcPr>
            <w:tcW w:w="0" w:type="auto"/>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r w:rsidRPr="003B46CE">
              <w:rPr>
                <w:rFonts w:cs="Arial"/>
              </w:rPr>
              <w:t>Imagen</w:t>
            </w: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r w:rsidRPr="003B46CE">
              <w:rPr>
                <w:rStyle w:val="MquinadeescribirHTML"/>
                <w:rFonts w:asciiTheme="minorHAnsi" w:hAnsiTheme="minorHAnsi"/>
                <w:sz w:val="22"/>
                <w:szCs w:val="22"/>
              </w:rPr>
              <w:t>.</w:t>
            </w:r>
            <w:proofErr w:type="spellStart"/>
            <w:r w:rsidRPr="003B46CE">
              <w:rPr>
                <w:rStyle w:val="MquinadeescribirHTML"/>
                <w:rFonts w:asciiTheme="minorHAnsi" w:hAnsiTheme="minorHAnsi"/>
                <w:sz w:val="22"/>
                <w:szCs w:val="22"/>
              </w:rPr>
              <w:t>odi</w:t>
            </w:r>
            <w:proofErr w:type="spellEnd"/>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proofErr w:type="spellStart"/>
            <w:r w:rsidRPr="003B46CE">
              <w:rPr>
                <w:rStyle w:val="MquinadeescribirHTML"/>
                <w:rFonts w:asciiTheme="minorHAnsi" w:hAnsiTheme="minorHAnsi"/>
                <w:sz w:val="22"/>
                <w:szCs w:val="22"/>
              </w:rPr>
              <w:t>application</w:t>
            </w:r>
            <w:proofErr w:type="spellEnd"/>
            <w:r w:rsidRPr="003B46CE">
              <w:rPr>
                <w:rStyle w:val="MquinadeescribirHTML"/>
                <w:rFonts w:asciiTheme="minorHAnsi" w:hAnsiTheme="minorHAnsi"/>
                <w:sz w:val="22"/>
                <w:szCs w:val="22"/>
              </w:rPr>
              <w:t>/</w:t>
            </w:r>
            <w:proofErr w:type="spellStart"/>
            <w:r w:rsidRPr="003B46CE">
              <w:rPr>
                <w:rStyle w:val="MquinadeescribirHTML"/>
                <w:rFonts w:asciiTheme="minorHAnsi" w:hAnsiTheme="minorHAnsi"/>
                <w:sz w:val="22"/>
                <w:szCs w:val="22"/>
              </w:rPr>
              <w:t>vnd.oasis.opendocument.image</w:t>
            </w:r>
            <w:proofErr w:type="spellEnd"/>
          </w:p>
        </w:tc>
      </w:tr>
      <w:tr w:rsidR="003B46CE" w:rsidRPr="003B46CE" w:rsidTr="003B46CE">
        <w:trPr>
          <w:jc w:val="center"/>
        </w:trPr>
        <w:tc>
          <w:tcPr>
            <w:tcW w:w="0" w:type="auto"/>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r w:rsidRPr="003B46CE">
              <w:rPr>
                <w:rFonts w:cs="Arial"/>
              </w:rPr>
              <w:t>Documento maestro</w:t>
            </w: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r w:rsidRPr="003B46CE">
              <w:rPr>
                <w:rStyle w:val="MquinadeescribirHTML"/>
                <w:rFonts w:asciiTheme="minorHAnsi" w:hAnsiTheme="minorHAnsi"/>
                <w:sz w:val="22"/>
                <w:szCs w:val="22"/>
              </w:rPr>
              <w:t>.</w:t>
            </w:r>
            <w:proofErr w:type="spellStart"/>
            <w:r w:rsidRPr="003B46CE">
              <w:rPr>
                <w:rStyle w:val="MquinadeescribirHTML"/>
                <w:rFonts w:asciiTheme="minorHAnsi" w:hAnsiTheme="minorHAnsi"/>
                <w:sz w:val="22"/>
                <w:szCs w:val="22"/>
              </w:rPr>
              <w:t>odm</w:t>
            </w:r>
            <w:proofErr w:type="spellEnd"/>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3356B" w:rsidRPr="003B46CE" w:rsidRDefault="0043356B" w:rsidP="003B46CE">
            <w:pPr>
              <w:spacing w:after="0" w:line="240" w:lineRule="auto"/>
              <w:rPr>
                <w:rFonts w:cs="Arial"/>
              </w:rPr>
            </w:pPr>
            <w:proofErr w:type="spellStart"/>
            <w:r w:rsidRPr="003B46CE">
              <w:rPr>
                <w:rStyle w:val="MquinadeescribirHTML"/>
                <w:rFonts w:asciiTheme="minorHAnsi" w:hAnsiTheme="minorHAnsi"/>
                <w:sz w:val="22"/>
                <w:szCs w:val="22"/>
              </w:rPr>
              <w:t>application</w:t>
            </w:r>
            <w:proofErr w:type="spellEnd"/>
            <w:r w:rsidRPr="003B46CE">
              <w:rPr>
                <w:rStyle w:val="MquinadeescribirHTML"/>
                <w:rFonts w:asciiTheme="minorHAnsi" w:hAnsiTheme="minorHAnsi"/>
                <w:sz w:val="22"/>
                <w:szCs w:val="22"/>
              </w:rPr>
              <w:t>/</w:t>
            </w:r>
            <w:proofErr w:type="spellStart"/>
            <w:r w:rsidRPr="003B46CE">
              <w:rPr>
                <w:rStyle w:val="MquinadeescribirHTML"/>
                <w:rFonts w:asciiTheme="minorHAnsi" w:hAnsiTheme="minorHAnsi"/>
                <w:sz w:val="22"/>
                <w:szCs w:val="22"/>
              </w:rPr>
              <w:t>vnd.oasis.opendocument.text</w:t>
            </w:r>
            <w:proofErr w:type="spellEnd"/>
            <w:r w:rsidRPr="003B46CE">
              <w:rPr>
                <w:rStyle w:val="MquinadeescribirHTML"/>
                <w:rFonts w:asciiTheme="minorHAnsi" w:hAnsiTheme="minorHAnsi"/>
                <w:sz w:val="22"/>
                <w:szCs w:val="22"/>
              </w:rPr>
              <w:t>-master</w:t>
            </w:r>
          </w:p>
        </w:tc>
      </w:tr>
    </w:tbl>
    <w:p w:rsidR="0043356B" w:rsidRPr="003B46CE" w:rsidRDefault="0043356B" w:rsidP="003B46CE">
      <w:pPr>
        <w:spacing w:after="0" w:line="240" w:lineRule="auto"/>
        <w:jc w:val="both"/>
        <w:rPr>
          <w:rFonts w:cs="Arial"/>
          <w:u w:val="single"/>
          <w:lang w:val="es-ES"/>
        </w:rPr>
      </w:pPr>
    </w:p>
    <w:sectPr w:rsidR="0043356B" w:rsidRPr="003B46CE" w:rsidSect="00600FBB">
      <w:headerReference w:type="default" r:id="rId13"/>
      <w:pgSz w:w="12240" w:h="15840"/>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2C3" w:rsidRDefault="006232C3" w:rsidP="0031022F">
      <w:pPr>
        <w:spacing w:after="0" w:line="240" w:lineRule="auto"/>
      </w:pPr>
      <w:r>
        <w:separator/>
      </w:r>
    </w:p>
  </w:endnote>
  <w:endnote w:type="continuationSeparator" w:id="0">
    <w:p w:rsidR="006232C3" w:rsidRDefault="006232C3" w:rsidP="00310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2C3" w:rsidRDefault="006232C3" w:rsidP="0031022F">
      <w:pPr>
        <w:spacing w:after="0" w:line="240" w:lineRule="auto"/>
      </w:pPr>
      <w:r>
        <w:separator/>
      </w:r>
    </w:p>
  </w:footnote>
  <w:footnote w:type="continuationSeparator" w:id="0">
    <w:p w:rsidR="006232C3" w:rsidRDefault="006232C3" w:rsidP="00310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45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1596"/>
      <w:gridCol w:w="3818"/>
    </w:tblGrid>
    <w:tr w:rsidR="003D398C" w:rsidTr="00600FBB">
      <w:trPr>
        <w:trHeight w:val="1055"/>
      </w:trPr>
      <w:tc>
        <w:tcPr>
          <w:tcW w:w="2717" w:type="dxa"/>
        </w:tcPr>
        <w:p w:rsidR="003D398C" w:rsidRDefault="003D398C" w:rsidP="00600FBB">
          <w:pPr>
            <w:pStyle w:val="Sinespaciado"/>
            <w:jc w:val="both"/>
            <w:rPr>
              <w:rFonts w:ascii="Arial" w:hAnsi="Arial" w:cs="Arial"/>
              <w:b/>
            </w:rPr>
          </w:pPr>
          <w:r>
            <w:rPr>
              <w:rFonts w:ascii="Arial" w:hAnsi="Arial" w:cs="Arial"/>
              <w:b/>
              <w:noProof/>
            </w:rPr>
            <w:drawing>
              <wp:inline distT="0" distB="0" distL="0" distR="0" wp14:anchorId="3EB17EF9" wp14:editId="3A60F338">
                <wp:extent cx="1790700" cy="75129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T.jpg"/>
                        <pic:cNvPicPr/>
                      </pic:nvPicPr>
                      <pic:blipFill>
                        <a:blip r:embed="rId1">
                          <a:extLst>
                            <a:ext uri="{28A0092B-C50C-407E-A947-70E740481C1C}">
                              <a14:useLocalDpi xmlns:a14="http://schemas.microsoft.com/office/drawing/2010/main" val="0"/>
                            </a:ext>
                          </a:extLst>
                        </a:blip>
                        <a:stretch>
                          <a:fillRect/>
                        </a:stretch>
                      </pic:blipFill>
                      <pic:spPr>
                        <a:xfrm>
                          <a:off x="0" y="0"/>
                          <a:ext cx="1810185" cy="759468"/>
                        </a:xfrm>
                        <a:prstGeom prst="rect">
                          <a:avLst/>
                        </a:prstGeom>
                      </pic:spPr>
                    </pic:pic>
                  </a:graphicData>
                </a:graphic>
              </wp:inline>
            </w:drawing>
          </w:r>
        </w:p>
      </w:tc>
      <w:tc>
        <w:tcPr>
          <w:tcW w:w="1684" w:type="dxa"/>
        </w:tcPr>
        <w:p w:rsidR="003D398C" w:rsidRPr="000E1C24" w:rsidRDefault="003D398C" w:rsidP="007A1AB2">
          <w:pPr>
            <w:pStyle w:val="Sinespaciado"/>
            <w:jc w:val="center"/>
            <w:rPr>
              <w:rFonts w:cs="Arial"/>
              <w:b/>
              <w:sz w:val="24"/>
              <w:szCs w:val="24"/>
            </w:rPr>
          </w:pPr>
        </w:p>
        <w:p w:rsidR="003D398C" w:rsidRPr="00C40284" w:rsidRDefault="003D398C" w:rsidP="007A1AB2">
          <w:pPr>
            <w:pStyle w:val="Sinespaciado"/>
            <w:jc w:val="center"/>
            <w:rPr>
              <w:rFonts w:ascii="Arial" w:hAnsi="Arial" w:cs="Arial"/>
              <w:b/>
            </w:rPr>
          </w:pPr>
        </w:p>
      </w:tc>
      <w:tc>
        <w:tcPr>
          <w:tcW w:w="4049" w:type="dxa"/>
        </w:tcPr>
        <w:p w:rsidR="003D398C" w:rsidRDefault="003D398C" w:rsidP="00CD4A2C">
          <w:pPr>
            <w:pStyle w:val="Sinespaciado"/>
            <w:jc w:val="center"/>
            <w:rPr>
              <w:rFonts w:ascii="Arial" w:hAnsi="Arial" w:cs="Arial"/>
              <w:b/>
            </w:rPr>
          </w:pPr>
        </w:p>
      </w:tc>
    </w:tr>
  </w:tbl>
  <w:p w:rsidR="003D398C" w:rsidRDefault="003D398C" w:rsidP="00D45D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45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1544"/>
      <w:gridCol w:w="3870"/>
    </w:tblGrid>
    <w:tr w:rsidR="00EA5E30" w:rsidTr="00EA5E30">
      <w:trPr>
        <w:trHeight w:val="1055"/>
      </w:trPr>
      <w:tc>
        <w:tcPr>
          <w:tcW w:w="2717" w:type="dxa"/>
        </w:tcPr>
        <w:p w:rsidR="00EA5E30" w:rsidRDefault="00EA5E30" w:rsidP="00600FBB">
          <w:pPr>
            <w:pStyle w:val="Sinespaciado"/>
            <w:jc w:val="both"/>
            <w:rPr>
              <w:rFonts w:ascii="Arial" w:hAnsi="Arial" w:cs="Arial"/>
              <w:b/>
            </w:rPr>
          </w:pPr>
          <w:r>
            <w:rPr>
              <w:rFonts w:ascii="Arial" w:hAnsi="Arial" w:cs="Arial"/>
              <w:b/>
              <w:noProof/>
            </w:rPr>
            <w:drawing>
              <wp:inline distT="0" distB="0" distL="0" distR="0" wp14:anchorId="53F51F68" wp14:editId="7DC2CC64">
                <wp:extent cx="1790700" cy="75129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T.jpg"/>
                        <pic:cNvPicPr/>
                      </pic:nvPicPr>
                      <pic:blipFill>
                        <a:blip r:embed="rId1">
                          <a:extLst>
                            <a:ext uri="{28A0092B-C50C-407E-A947-70E740481C1C}">
                              <a14:useLocalDpi xmlns:a14="http://schemas.microsoft.com/office/drawing/2010/main" val="0"/>
                            </a:ext>
                          </a:extLst>
                        </a:blip>
                        <a:stretch>
                          <a:fillRect/>
                        </a:stretch>
                      </pic:blipFill>
                      <pic:spPr>
                        <a:xfrm>
                          <a:off x="0" y="0"/>
                          <a:ext cx="1810185" cy="759468"/>
                        </a:xfrm>
                        <a:prstGeom prst="rect">
                          <a:avLst/>
                        </a:prstGeom>
                      </pic:spPr>
                    </pic:pic>
                  </a:graphicData>
                </a:graphic>
              </wp:inline>
            </w:drawing>
          </w:r>
        </w:p>
      </w:tc>
      <w:tc>
        <w:tcPr>
          <w:tcW w:w="1684" w:type="dxa"/>
        </w:tcPr>
        <w:p w:rsidR="00EA5E30" w:rsidRPr="000E1C24" w:rsidRDefault="00EA5E30" w:rsidP="007A1AB2">
          <w:pPr>
            <w:pStyle w:val="Sinespaciado"/>
            <w:jc w:val="center"/>
            <w:rPr>
              <w:rFonts w:cs="Arial"/>
              <w:b/>
              <w:sz w:val="24"/>
              <w:szCs w:val="24"/>
            </w:rPr>
          </w:pPr>
        </w:p>
        <w:p w:rsidR="00EA5E30" w:rsidRPr="00C40284" w:rsidRDefault="00EA5E30" w:rsidP="007A1AB2">
          <w:pPr>
            <w:pStyle w:val="Sinespaciado"/>
            <w:jc w:val="center"/>
            <w:rPr>
              <w:rFonts w:ascii="Arial" w:hAnsi="Arial" w:cs="Arial"/>
              <w:b/>
            </w:rPr>
          </w:pPr>
        </w:p>
      </w:tc>
      <w:tc>
        <w:tcPr>
          <w:tcW w:w="4049" w:type="dxa"/>
          <w:vAlign w:val="center"/>
        </w:tcPr>
        <w:p w:rsidR="00EA5E30" w:rsidRPr="00EA5E30" w:rsidRDefault="00EA5E30" w:rsidP="00EA5E30">
          <w:pPr>
            <w:pStyle w:val="Sinespaciado"/>
            <w:jc w:val="center"/>
            <w:rPr>
              <w:rFonts w:ascii="Arial" w:hAnsi="Arial" w:cs="Arial"/>
              <w:b/>
              <w:sz w:val="32"/>
            </w:rPr>
          </w:pPr>
          <w:r w:rsidRPr="00EA5E30">
            <w:rPr>
              <w:rFonts w:ascii="Arial" w:hAnsi="Arial" w:cs="Arial"/>
              <w:b/>
              <w:sz w:val="32"/>
            </w:rPr>
            <w:t>ANEXO NORMATIVO</w:t>
          </w:r>
        </w:p>
      </w:tc>
    </w:tr>
  </w:tbl>
  <w:p w:rsidR="00EA5E30" w:rsidRDefault="00EA5E30" w:rsidP="00D45D5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1556"/>
      <w:gridCol w:w="4339"/>
    </w:tblGrid>
    <w:tr w:rsidR="0043356B" w:rsidTr="0043356B">
      <w:trPr>
        <w:trHeight w:val="1055"/>
      </w:trPr>
      <w:tc>
        <w:tcPr>
          <w:tcW w:w="3036" w:type="dxa"/>
        </w:tcPr>
        <w:p w:rsidR="0043356B" w:rsidRDefault="0043356B" w:rsidP="00600FBB">
          <w:pPr>
            <w:pStyle w:val="Sinespaciado"/>
            <w:jc w:val="both"/>
            <w:rPr>
              <w:rFonts w:ascii="Arial" w:hAnsi="Arial" w:cs="Arial"/>
              <w:b/>
            </w:rPr>
          </w:pPr>
          <w:r>
            <w:rPr>
              <w:rFonts w:ascii="Arial" w:hAnsi="Arial" w:cs="Arial"/>
              <w:b/>
              <w:noProof/>
            </w:rPr>
            <w:drawing>
              <wp:inline distT="0" distB="0" distL="0" distR="0" wp14:anchorId="53F693B9" wp14:editId="358E0C2E">
                <wp:extent cx="1790700" cy="75129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T.jpg"/>
                        <pic:cNvPicPr/>
                      </pic:nvPicPr>
                      <pic:blipFill>
                        <a:blip r:embed="rId1">
                          <a:extLst>
                            <a:ext uri="{28A0092B-C50C-407E-A947-70E740481C1C}">
                              <a14:useLocalDpi xmlns:a14="http://schemas.microsoft.com/office/drawing/2010/main" val="0"/>
                            </a:ext>
                          </a:extLst>
                        </a:blip>
                        <a:stretch>
                          <a:fillRect/>
                        </a:stretch>
                      </pic:blipFill>
                      <pic:spPr>
                        <a:xfrm>
                          <a:off x="0" y="0"/>
                          <a:ext cx="1810185" cy="759468"/>
                        </a:xfrm>
                        <a:prstGeom prst="rect">
                          <a:avLst/>
                        </a:prstGeom>
                      </pic:spPr>
                    </pic:pic>
                  </a:graphicData>
                </a:graphic>
              </wp:inline>
            </w:drawing>
          </w:r>
        </w:p>
      </w:tc>
      <w:tc>
        <w:tcPr>
          <w:tcW w:w="1556" w:type="dxa"/>
        </w:tcPr>
        <w:p w:rsidR="0043356B" w:rsidRPr="000E1C24" w:rsidRDefault="0043356B" w:rsidP="007A1AB2">
          <w:pPr>
            <w:pStyle w:val="Sinespaciado"/>
            <w:jc w:val="center"/>
            <w:rPr>
              <w:rFonts w:cs="Arial"/>
              <w:b/>
              <w:sz w:val="24"/>
              <w:szCs w:val="24"/>
            </w:rPr>
          </w:pPr>
        </w:p>
        <w:p w:rsidR="0043356B" w:rsidRPr="00C40284" w:rsidRDefault="0043356B" w:rsidP="007A1AB2">
          <w:pPr>
            <w:pStyle w:val="Sinespaciado"/>
            <w:jc w:val="center"/>
            <w:rPr>
              <w:rFonts w:ascii="Arial" w:hAnsi="Arial" w:cs="Arial"/>
              <w:b/>
            </w:rPr>
          </w:pPr>
        </w:p>
      </w:tc>
      <w:tc>
        <w:tcPr>
          <w:tcW w:w="4339" w:type="dxa"/>
          <w:vAlign w:val="center"/>
        </w:tcPr>
        <w:p w:rsidR="0043356B" w:rsidRPr="00EA5E30" w:rsidRDefault="0043356B" w:rsidP="0043356B">
          <w:pPr>
            <w:pStyle w:val="Sinespaciado"/>
            <w:jc w:val="center"/>
            <w:rPr>
              <w:rFonts w:ascii="Arial" w:hAnsi="Arial" w:cs="Arial"/>
              <w:b/>
              <w:sz w:val="32"/>
            </w:rPr>
          </w:pPr>
          <w:r w:rsidRPr="00EA5E30">
            <w:rPr>
              <w:rFonts w:ascii="Arial" w:hAnsi="Arial" w:cs="Arial"/>
              <w:b/>
              <w:sz w:val="32"/>
            </w:rPr>
            <w:t xml:space="preserve">ANEXO </w:t>
          </w:r>
          <w:r>
            <w:rPr>
              <w:rFonts w:ascii="Arial" w:hAnsi="Arial" w:cs="Arial"/>
              <w:b/>
              <w:sz w:val="32"/>
            </w:rPr>
            <w:t>DATOS ABIERTOS</w:t>
          </w:r>
        </w:p>
      </w:tc>
    </w:tr>
  </w:tbl>
  <w:p w:rsidR="0043356B" w:rsidRDefault="0043356B" w:rsidP="00D45D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70.5pt;height:165.05pt" o:bullet="t">
        <v:imagedata r:id="rId1" o:title="snt"/>
      </v:shape>
    </w:pict>
  </w:numPicBullet>
  <w:abstractNum w:abstractNumId="0">
    <w:nsid w:val="02262531"/>
    <w:multiLevelType w:val="hybridMultilevel"/>
    <w:tmpl w:val="2932A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2126BF"/>
    <w:multiLevelType w:val="hybridMultilevel"/>
    <w:tmpl w:val="494073DC"/>
    <w:lvl w:ilvl="0" w:tplc="080A0001">
      <w:start w:val="1"/>
      <w:numFmt w:val="bullet"/>
      <w:lvlText w:val=""/>
      <w:lvlJc w:val="left"/>
      <w:pPr>
        <w:ind w:left="618" w:hanging="360"/>
      </w:pPr>
      <w:rPr>
        <w:rFonts w:ascii="Symbol" w:hAnsi="Symbol" w:hint="default"/>
      </w:rPr>
    </w:lvl>
    <w:lvl w:ilvl="1" w:tplc="080A0003">
      <w:start w:val="1"/>
      <w:numFmt w:val="bullet"/>
      <w:lvlText w:val="o"/>
      <w:lvlJc w:val="left"/>
      <w:pPr>
        <w:ind w:left="1338" w:hanging="360"/>
      </w:pPr>
      <w:rPr>
        <w:rFonts w:ascii="Courier New" w:hAnsi="Courier New" w:cs="Courier New" w:hint="default"/>
      </w:rPr>
    </w:lvl>
    <w:lvl w:ilvl="2" w:tplc="080A0005" w:tentative="1">
      <w:start w:val="1"/>
      <w:numFmt w:val="bullet"/>
      <w:lvlText w:val=""/>
      <w:lvlJc w:val="left"/>
      <w:pPr>
        <w:ind w:left="2058" w:hanging="360"/>
      </w:pPr>
      <w:rPr>
        <w:rFonts w:ascii="Wingdings" w:hAnsi="Wingdings" w:hint="default"/>
      </w:rPr>
    </w:lvl>
    <w:lvl w:ilvl="3" w:tplc="080A0001" w:tentative="1">
      <w:start w:val="1"/>
      <w:numFmt w:val="bullet"/>
      <w:lvlText w:val=""/>
      <w:lvlJc w:val="left"/>
      <w:pPr>
        <w:ind w:left="2778" w:hanging="360"/>
      </w:pPr>
      <w:rPr>
        <w:rFonts w:ascii="Symbol" w:hAnsi="Symbol" w:hint="default"/>
      </w:rPr>
    </w:lvl>
    <w:lvl w:ilvl="4" w:tplc="080A0003" w:tentative="1">
      <w:start w:val="1"/>
      <w:numFmt w:val="bullet"/>
      <w:lvlText w:val="o"/>
      <w:lvlJc w:val="left"/>
      <w:pPr>
        <w:ind w:left="3498" w:hanging="360"/>
      </w:pPr>
      <w:rPr>
        <w:rFonts w:ascii="Courier New" w:hAnsi="Courier New" w:cs="Courier New" w:hint="default"/>
      </w:rPr>
    </w:lvl>
    <w:lvl w:ilvl="5" w:tplc="080A0005" w:tentative="1">
      <w:start w:val="1"/>
      <w:numFmt w:val="bullet"/>
      <w:lvlText w:val=""/>
      <w:lvlJc w:val="left"/>
      <w:pPr>
        <w:ind w:left="4218" w:hanging="360"/>
      </w:pPr>
      <w:rPr>
        <w:rFonts w:ascii="Wingdings" w:hAnsi="Wingdings" w:hint="default"/>
      </w:rPr>
    </w:lvl>
    <w:lvl w:ilvl="6" w:tplc="080A0001" w:tentative="1">
      <w:start w:val="1"/>
      <w:numFmt w:val="bullet"/>
      <w:lvlText w:val=""/>
      <w:lvlJc w:val="left"/>
      <w:pPr>
        <w:ind w:left="4938" w:hanging="360"/>
      </w:pPr>
      <w:rPr>
        <w:rFonts w:ascii="Symbol" w:hAnsi="Symbol" w:hint="default"/>
      </w:rPr>
    </w:lvl>
    <w:lvl w:ilvl="7" w:tplc="080A0003" w:tentative="1">
      <w:start w:val="1"/>
      <w:numFmt w:val="bullet"/>
      <w:lvlText w:val="o"/>
      <w:lvlJc w:val="left"/>
      <w:pPr>
        <w:ind w:left="5658" w:hanging="360"/>
      </w:pPr>
      <w:rPr>
        <w:rFonts w:ascii="Courier New" w:hAnsi="Courier New" w:cs="Courier New" w:hint="default"/>
      </w:rPr>
    </w:lvl>
    <w:lvl w:ilvl="8" w:tplc="080A0005" w:tentative="1">
      <w:start w:val="1"/>
      <w:numFmt w:val="bullet"/>
      <w:lvlText w:val=""/>
      <w:lvlJc w:val="left"/>
      <w:pPr>
        <w:ind w:left="6378" w:hanging="360"/>
      </w:pPr>
      <w:rPr>
        <w:rFonts w:ascii="Wingdings" w:hAnsi="Wingdings" w:hint="default"/>
      </w:rPr>
    </w:lvl>
  </w:abstractNum>
  <w:abstractNum w:abstractNumId="2">
    <w:nsid w:val="16E756AB"/>
    <w:multiLevelType w:val="hybridMultilevel"/>
    <w:tmpl w:val="3A8ED5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2C0423"/>
    <w:multiLevelType w:val="hybridMultilevel"/>
    <w:tmpl w:val="B9742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481A48"/>
    <w:multiLevelType w:val="hybridMultilevel"/>
    <w:tmpl w:val="2BB8A6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617F8"/>
    <w:multiLevelType w:val="hybridMultilevel"/>
    <w:tmpl w:val="8BE09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576D01"/>
    <w:multiLevelType w:val="hybridMultilevel"/>
    <w:tmpl w:val="A2925E6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58F2777"/>
    <w:multiLevelType w:val="hybridMultilevel"/>
    <w:tmpl w:val="91D87F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F">
      <w:start w:val="1"/>
      <w:numFmt w:val="decimal"/>
      <w:lvlText w:val="%3."/>
      <w:lvlJc w:val="left"/>
      <w:pPr>
        <w:ind w:left="2160" w:hanging="360"/>
      </w:pPr>
      <w:rPr>
        <w:rFonts w:hint="default"/>
      </w:rPr>
    </w:lvl>
    <w:lvl w:ilvl="3" w:tplc="080A0017">
      <w:start w:val="1"/>
      <w:numFmt w:val="lowerLetter"/>
      <w:lvlText w:val="%4)"/>
      <w:lvlJc w:val="left"/>
      <w:pPr>
        <w:ind w:left="2880" w:hanging="360"/>
      </w:pPr>
      <w:rPr>
        <w:rFonts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101E65"/>
    <w:multiLevelType w:val="hybridMultilevel"/>
    <w:tmpl w:val="C074D2F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E80654"/>
    <w:multiLevelType w:val="hybridMultilevel"/>
    <w:tmpl w:val="E4B0EFEA"/>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2ACC0449"/>
    <w:multiLevelType w:val="hybridMultilevel"/>
    <w:tmpl w:val="AAC86ACC"/>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nsid w:val="2E326505"/>
    <w:multiLevelType w:val="hybridMultilevel"/>
    <w:tmpl w:val="582CE55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nsid w:val="362851FE"/>
    <w:multiLevelType w:val="hybridMultilevel"/>
    <w:tmpl w:val="45C65186"/>
    <w:lvl w:ilvl="0" w:tplc="080A000B">
      <w:start w:val="1"/>
      <w:numFmt w:val="bullet"/>
      <w:lvlText w:val=""/>
      <w:lvlJc w:val="left"/>
      <w:pPr>
        <w:ind w:left="720" w:hanging="360"/>
      </w:pPr>
      <w:rPr>
        <w:rFonts w:ascii="Wingdings" w:hAnsi="Wingdings" w:hint="default"/>
      </w:rPr>
    </w:lvl>
    <w:lvl w:ilvl="1" w:tplc="080A0013">
      <w:start w:val="1"/>
      <w:numFmt w:val="upperRoman"/>
      <w:lvlText w:val="%2."/>
      <w:lvlJc w:val="righ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ACB4E22"/>
    <w:multiLevelType w:val="hybridMultilevel"/>
    <w:tmpl w:val="5F18A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9320B2"/>
    <w:multiLevelType w:val="hybridMultilevel"/>
    <w:tmpl w:val="9F8EB3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091348D"/>
    <w:multiLevelType w:val="hybridMultilevel"/>
    <w:tmpl w:val="881E6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18E2200"/>
    <w:multiLevelType w:val="hybridMultilevel"/>
    <w:tmpl w:val="107CCE6E"/>
    <w:lvl w:ilvl="0" w:tplc="26500FB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6376D1D"/>
    <w:multiLevelType w:val="hybridMultilevel"/>
    <w:tmpl w:val="BB1239A4"/>
    <w:lvl w:ilvl="0" w:tplc="B1CEC8A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4E38092F"/>
    <w:multiLevelType w:val="hybridMultilevel"/>
    <w:tmpl w:val="E07C8232"/>
    <w:lvl w:ilvl="0" w:tplc="080A000F">
      <w:start w:val="1"/>
      <w:numFmt w:val="decimal"/>
      <w:lvlText w:val="%1."/>
      <w:lvlJc w:val="left"/>
      <w:pPr>
        <w:ind w:left="1068"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F">
      <w:start w:val="1"/>
      <w:numFmt w:val="decimal"/>
      <w:lvlText w:val="%3."/>
      <w:lvlJc w:val="left"/>
      <w:pPr>
        <w:ind w:left="2508" w:hanging="360"/>
      </w:pPr>
      <w:rPr>
        <w:rFont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50B14E78"/>
    <w:multiLevelType w:val="hybridMultilevel"/>
    <w:tmpl w:val="29226CC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nsid w:val="55920BBA"/>
    <w:multiLevelType w:val="hybridMultilevel"/>
    <w:tmpl w:val="3EA003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6E55458"/>
    <w:multiLevelType w:val="hybridMultilevel"/>
    <w:tmpl w:val="6AA479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8671D76"/>
    <w:multiLevelType w:val="hybridMultilevel"/>
    <w:tmpl w:val="DAD4A7CE"/>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5ECC7A95"/>
    <w:multiLevelType w:val="hybridMultilevel"/>
    <w:tmpl w:val="DA72F178"/>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64555F65"/>
    <w:multiLevelType w:val="hybridMultilevel"/>
    <w:tmpl w:val="EDB26A40"/>
    <w:lvl w:ilvl="0" w:tplc="080A0001">
      <w:start w:val="1"/>
      <w:numFmt w:val="bullet"/>
      <w:lvlText w:val=""/>
      <w:lvlJc w:val="left"/>
      <w:pPr>
        <w:ind w:left="467" w:hanging="360"/>
      </w:pPr>
      <w:rPr>
        <w:rFonts w:ascii="Symbol" w:hAnsi="Symbol" w:hint="default"/>
      </w:rPr>
    </w:lvl>
    <w:lvl w:ilvl="1" w:tplc="080A0003" w:tentative="1">
      <w:start w:val="1"/>
      <w:numFmt w:val="bullet"/>
      <w:lvlText w:val="o"/>
      <w:lvlJc w:val="left"/>
      <w:pPr>
        <w:ind w:left="1187" w:hanging="360"/>
      </w:pPr>
      <w:rPr>
        <w:rFonts w:ascii="Courier New" w:hAnsi="Courier New" w:cs="Courier New" w:hint="default"/>
      </w:rPr>
    </w:lvl>
    <w:lvl w:ilvl="2" w:tplc="080A0005" w:tentative="1">
      <w:start w:val="1"/>
      <w:numFmt w:val="bullet"/>
      <w:lvlText w:val=""/>
      <w:lvlJc w:val="left"/>
      <w:pPr>
        <w:ind w:left="1907" w:hanging="360"/>
      </w:pPr>
      <w:rPr>
        <w:rFonts w:ascii="Wingdings" w:hAnsi="Wingdings" w:hint="default"/>
      </w:rPr>
    </w:lvl>
    <w:lvl w:ilvl="3" w:tplc="080A0001" w:tentative="1">
      <w:start w:val="1"/>
      <w:numFmt w:val="bullet"/>
      <w:lvlText w:val=""/>
      <w:lvlJc w:val="left"/>
      <w:pPr>
        <w:ind w:left="2627" w:hanging="360"/>
      </w:pPr>
      <w:rPr>
        <w:rFonts w:ascii="Symbol" w:hAnsi="Symbol" w:hint="default"/>
      </w:rPr>
    </w:lvl>
    <w:lvl w:ilvl="4" w:tplc="080A0003" w:tentative="1">
      <w:start w:val="1"/>
      <w:numFmt w:val="bullet"/>
      <w:lvlText w:val="o"/>
      <w:lvlJc w:val="left"/>
      <w:pPr>
        <w:ind w:left="3347" w:hanging="360"/>
      </w:pPr>
      <w:rPr>
        <w:rFonts w:ascii="Courier New" w:hAnsi="Courier New" w:cs="Courier New" w:hint="default"/>
      </w:rPr>
    </w:lvl>
    <w:lvl w:ilvl="5" w:tplc="080A0005" w:tentative="1">
      <w:start w:val="1"/>
      <w:numFmt w:val="bullet"/>
      <w:lvlText w:val=""/>
      <w:lvlJc w:val="left"/>
      <w:pPr>
        <w:ind w:left="4067" w:hanging="360"/>
      </w:pPr>
      <w:rPr>
        <w:rFonts w:ascii="Wingdings" w:hAnsi="Wingdings" w:hint="default"/>
      </w:rPr>
    </w:lvl>
    <w:lvl w:ilvl="6" w:tplc="080A0001" w:tentative="1">
      <w:start w:val="1"/>
      <w:numFmt w:val="bullet"/>
      <w:lvlText w:val=""/>
      <w:lvlJc w:val="left"/>
      <w:pPr>
        <w:ind w:left="4787" w:hanging="360"/>
      </w:pPr>
      <w:rPr>
        <w:rFonts w:ascii="Symbol" w:hAnsi="Symbol" w:hint="default"/>
      </w:rPr>
    </w:lvl>
    <w:lvl w:ilvl="7" w:tplc="080A0003" w:tentative="1">
      <w:start w:val="1"/>
      <w:numFmt w:val="bullet"/>
      <w:lvlText w:val="o"/>
      <w:lvlJc w:val="left"/>
      <w:pPr>
        <w:ind w:left="5507" w:hanging="360"/>
      </w:pPr>
      <w:rPr>
        <w:rFonts w:ascii="Courier New" w:hAnsi="Courier New" w:cs="Courier New" w:hint="default"/>
      </w:rPr>
    </w:lvl>
    <w:lvl w:ilvl="8" w:tplc="080A0005" w:tentative="1">
      <w:start w:val="1"/>
      <w:numFmt w:val="bullet"/>
      <w:lvlText w:val=""/>
      <w:lvlJc w:val="left"/>
      <w:pPr>
        <w:ind w:left="6227" w:hanging="360"/>
      </w:pPr>
      <w:rPr>
        <w:rFonts w:ascii="Wingdings" w:hAnsi="Wingdings" w:hint="default"/>
      </w:rPr>
    </w:lvl>
  </w:abstractNum>
  <w:abstractNum w:abstractNumId="25">
    <w:nsid w:val="6A3A74A2"/>
    <w:multiLevelType w:val="hybridMultilevel"/>
    <w:tmpl w:val="8FEE24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1EF3C41"/>
    <w:multiLevelType w:val="hybridMultilevel"/>
    <w:tmpl w:val="80E665D8"/>
    <w:lvl w:ilvl="0" w:tplc="080A0001">
      <w:start w:val="1"/>
      <w:numFmt w:val="bullet"/>
      <w:lvlText w:val=""/>
      <w:lvlJc w:val="left"/>
      <w:pPr>
        <w:ind w:left="720" w:hanging="360"/>
      </w:pPr>
      <w:rPr>
        <w:rFonts w:ascii="Symbol" w:hAnsi="Symbol" w:hint="default"/>
      </w:rPr>
    </w:lvl>
    <w:lvl w:ilvl="1" w:tplc="2520B87A">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7430F94"/>
    <w:multiLevelType w:val="hybridMultilevel"/>
    <w:tmpl w:val="CD8296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BBA5324"/>
    <w:multiLevelType w:val="hybridMultilevel"/>
    <w:tmpl w:val="8800E7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C47770C"/>
    <w:multiLevelType w:val="hybridMultilevel"/>
    <w:tmpl w:val="4AB46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3C3E47"/>
    <w:multiLevelType w:val="hybridMultilevel"/>
    <w:tmpl w:val="BA365C4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F384CAE"/>
    <w:multiLevelType w:val="hybridMultilevel"/>
    <w:tmpl w:val="DE6A0E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3"/>
  </w:num>
  <w:num w:numId="3">
    <w:abstractNumId w:val="4"/>
  </w:num>
  <w:num w:numId="4">
    <w:abstractNumId w:val="24"/>
  </w:num>
  <w:num w:numId="5">
    <w:abstractNumId w:val="28"/>
  </w:num>
  <w:num w:numId="6">
    <w:abstractNumId w:val="6"/>
  </w:num>
  <w:num w:numId="7">
    <w:abstractNumId w:val="0"/>
  </w:num>
  <w:num w:numId="8">
    <w:abstractNumId w:val="18"/>
  </w:num>
  <w:num w:numId="9">
    <w:abstractNumId w:val="1"/>
  </w:num>
  <w:num w:numId="10">
    <w:abstractNumId w:val="16"/>
  </w:num>
  <w:num w:numId="11">
    <w:abstractNumId w:val="2"/>
  </w:num>
  <w:num w:numId="12">
    <w:abstractNumId w:val="15"/>
  </w:num>
  <w:num w:numId="13">
    <w:abstractNumId w:val="5"/>
  </w:num>
  <w:num w:numId="14">
    <w:abstractNumId w:val="23"/>
  </w:num>
  <w:num w:numId="15">
    <w:abstractNumId w:val="13"/>
  </w:num>
  <w:num w:numId="16">
    <w:abstractNumId w:val="30"/>
  </w:num>
  <w:num w:numId="17">
    <w:abstractNumId w:val="7"/>
  </w:num>
  <w:num w:numId="18">
    <w:abstractNumId w:val="12"/>
  </w:num>
  <w:num w:numId="19">
    <w:abstractNumId w:val="10"/>
  </w:num>
  <w:num w:numId="20">
    <w:abstractNumId w:val="22"/>
  </w:num>
  <w:num w:numId="21">
    <w:abstractNumId w:val="8"/>
  </w:num>
  <w:num w:numId="22">
    <w:abstractNumId w:val="9"/>
  </w:num>
  <w:num w:numId="23">
    <w:abstractNumId w:val="11"/>
  </w:num>
  <w:num w:numId="24">
    <w:abstractNumId w:val="20"/>
  </w:num>
  <w:num w:numId="25">
    <w:abstractNumId w:val="26"/>
  </w:num>
  <w:num w:numId="26">
    <w:abstractNumId w:val="19"/>
  </w:num>
  <w:num w:numId="27">
    <w:abstractNumId w:val="17"/>
  </w:num>
  <w:num w:numId="28">
    <w:abstractNumId w:val="29"/>
  </w:num>
  <w:num w:numId="29">
    <w:abstractNumId w:val="25"/>
  </w:num>
  <w:num w:numId="30">
    <w:abstractNumId w:val="31"/>
  </w:num>
  <w:num w:numId="31">
    <w:abstractNumId w:val="2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2F"/>
    <w:rsid w:val="00036FFE"/>
    <w:rsid w:val="0004414C"/>
    <w:rsid w:val="00047C38"/>
    <w:rsid w:val="000701D0"/>
    <w:rsid w:val="0007277A"/>
    <w:rsid w:val="000863CF"/>
    <w:rsid w:val="000D53A5"/>
    <w:rsid w:val="000E5150"/>
    <w:rsid w:val="000F0794"/>
    <w:rsid w:val="000F34ED"/>
    <w:rsid w:val="0011343B"/>
    <w:rsid w:val="00126B9F"/>
    <w:rsid w:val="00142F2A"/>
    <w:rsid w:val="00142FDF"/>
    <w:rsid w:val="001624AE"/>
    <w:rsid w:val="0019090E"/>
    <w:rsid w:val="001A785D"/>
    <w:rsid w:val="001D4E4B"/>
    <w:rsid w:val="001E7926"/>
    <w:rsid w:val="00216F9D"/>
    <w:rsid w:val="00225EC5"/>
    <w:rsid w:val="00234C92"/>
    <w:rsid w:val="00247AD7"/>
    <w:rsid w:val="00250192"/>
    <w:rsid w:val="0026608F"/>
    <w:rsid w:val="002A34DD"/>
    <w:rsid w:val="002B154A"/>
    <w:rsid w:val="002D305F"/>
    <w:rsid w:val="002E7453"/>
    <w:rsid w:val="002F1B72"/>
    <w:rsid w:val="002F3AD8"/>
    <w:rsid w:val="002F59AB"/>
    <w:rsid w:val="003004AD"/>
    <w:rsid w:val="0031022F"/>
    <w:rsid w:val="003175E3"/>
    <w:rsid w:val="0034270C"/>
    <w:rsid w:val="00365C03"/>
    <w:rsid w:val="003665F6"/>
    <w:rsid w:val="003767AE"/>
    <w:rsid w:val="00376ECC"/>
    <w:rsid w:val="003B28B0"/>
    <w:rsid w:val="003B46CE"/>
    <w:rsid w:val="003D398C"/>
    <w:rsid w:val="003D54E9"/>
    <w:rsid w:val="003E7555"/>
    <w:rsid w:val="003F2A80"/>
    <w:rsid w:val="003F385A"/>
    <w:rsid w:val="004121BF"/>
    <w:rsid w:val="00430069"/>
    <w:rsid w:val="0043356B"/>
    <w:rsid w:val="004439D8"/>
    <w:rsid w:val="00482685"/>
    <w:rsid w:val="00487978"/>
    <w:rsid w:val="004C2C84"/>
    <w:rsid w:val="004C443F"/>
    <w:rsid w:val="004D4A7C"/>
    <w:rsid w:val="00505670"/>
    <w:rsid w:val="0051233B"/>
    <w:rsid w:val="005262DA"/>
    <w:rsid w:val="0053446F"/>
    <w:rsid w:val="005458E4"/>
    <w:rsid w:val="00556B97"/>
    <w:rsid w:val="00561FCB"/>
    <w:rsid w:val="00566F59"/>
    <w:rsid w:val="00567883"/>
    <w:rsid w:val="005C6683"/>
    <w:rsid w:val="005F31AF"/>
    <w:rsid w:val="00600FBB"/>
    <w:rsid w:val="00602757"/>
    <w:rsid w:val="0061023C"/>
    <w:rsid w:val="006232C3"/>
    <w:rsid w:val="006623F1"/>
    <w:rsid w:val="006760D4"/>
    <w:rsid w:val="006C0109"/>
    <w:rsid w:val="006D3A5D"/>
    <w:rsid w:val="006E5747"/>
    <w:rsid w:val="006F2430"/>
    <w:rsid w:val="006F254E"/>
    <w:rsid w:val="00705F6B"/>
    <w:rsid w:val="00720ACC"/>
    <w:rsid w:val="0072444F"/>
    <w:rsid w:val="00724E1A"/>
    <w:rsid w:val="00756B41"/>
    <w:rsid w:val="00767243"/>
    <w:rsid w:val="0078169E"/>
    <w:rsid w:val="007A1AB2"/>
    <w:rsid w:val="007A1E10"/>
    <w:rsid w:val="00811A19"/>
    <w:rsid w:val="008208C1"/>
    <w:rsid w:val="00834E24"/>
    <w:rsid w:val="00842457"/>
    <w:rsid w:val="0084267E"/>
    <w:rsid w:val="00845896"/>
    <w:rsid w:val="00847F89"/>
    <w:rsid w:val="00866A5C"/>
    <w:rsid w:val="0088364E"/>
    <w:rsid w:val="008A4C3D"/>
    <w:rsid w:val="008B6908"/>
    <w:rsid w:val="008D6E1B"/>
    <w:rsid w:val="008E4A1D"/>
    <w:rsid w:val="008E7D18"/>
    <w:rsid w:val="008F4352"/>
    <w:rsid w:val="0091375C"/>
    <w:rsid w:val="00913809"/>
    <w:rsid w:val="00950A3D"/>
    <w:rsid w:val="009C1396"/>
    <w:rsid w:val="009C623C"/>
    <w:rsid w:val="009E1E40"/>
    <w:rsid w:val="009E2652"/>
    <w:rsid w:val="00A00136"/>
    <w:rsid w:val="00A15B2A"/>
    <w:rsid w:val="00A20852"/>
    <w:rsid w:val="00A2768D"/>
    <w:rsid w:val="00A41EB2"/>
    <w:rsid w:val="00A54A18"/>
    <w:rsid w:val="00AB5BCD"/>
    <w:rsid w:val="00AE08D4"/>
    <w:rsid w:val="00AE56C6"/>
    <w:rsid w:val="00AF1BFA"/>
    <w:rsid w:val="00AF7AD4"/>
    <w:rsid w:val="00B1571B"/>
    <w:rsid w:val="00B469DC"/>
    <w:rsid w:val="00B50C51"/>
    <w:rsid w:val="00B5665E"/>
    <w:rsid w:val="00B811C4"/>
    <w:rsid w:val="00B86DAF"/>
    <w:rsid w:val="00B87104"/>
    <w:rsid w:val="00BA5B99"/>
    <w:rsid w:val="00C016F4"/>
    <w:rsid w:val="00C01CF2"/>
    <w:rsid w:val="00C126A2"/>
    <w:rsid w:val="00C2731B"/>
    <w:rsid w:val="00C34AB1"/>
    <w:rsid w:val="00C352C5"/>
    <w:rsid w:val="00C37F12"/>
    <w:rsid w:val="00C615D0"/>
    <w:rsid w:val="00C749CF"/>
    <w:rsid w:val="00C80F67"/>
    <w:rsid w:val="00CA1D9F"/>
    <w:rsid w:val="00CA47BE"/>
    <w:rsid w:val="00CD4A2C"/>
    <w:rsid w:val="00D01A6A"/>
    <w:rsid w:val="00D03F09"/>
    <w:rsid w:val="00D0537E"/>
    <w:rsid w:val="00D10D10"/>
    <w:rsid w:val="00D34B81"/>
    <w:rsid w:val="00D359F7"/>
    <w:rsid w:val="00D413B3"/>
    <w:rsid w:val="00D45D5D"/>
    <w:rsid w:val="00D45ECD"/>
    <w:rsid w:val="00D50340"/>
    <w:rsid w:val="00D73E13"/>
    <w:rsid w:val="00D83DA3"/>
    <w:rsid w:val="00D90C6E"/>
    <w:rsid w:val="00D96BB5"/>
    <w:rsid w:val="00DE38F8"/>
    <w:rsid w:val="00E42C6C"/>
    <w:rsid w:val="00EA29B2"/>
    <w:rsid w:val="00EA5E30"/>
    <w:rsid w:val="00EB120B"/>
    <w:rsid w:val="00ED1A51"/>
    <w:rsid w:val="00ED68C9"/>
    <w:rsid w:val="00EE020C"/>
    <w:rsid w:val="00EE478E"/>
    <w:rsid w:val="00F36DFA"/>
    <w:rsid w:val="00F41C53"/>
    <w:rsid w:val="00F90F42"/>
    <w:rsid w:val="00F92796"/>
    <w:rsid w:val="00FA7BD7"/>
    <w:rsid w:val="00FB2BB3"/>
    <w:rsid w:val="00FB53BC"/>
    <w:rsid w:val="00FB7D50"/>
    <w:rsid w:val="00FC6C25"/>
    <w:rsid w:val="00FE30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DDA0D7-1770-43D9-801C-EA1CB100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22F"/>
  </w:style>
  <w:style w:type="paragraph" w:styleId="Ttulo1">
    <w:name w:val="heading 1"/>
    <w:basedOn w:val="Normal"/>
    <w:next w:val="Normal"/>
    <w:link w:val="Ttulo1Car"/>
    <w:uiPriority w:val="9"/>
    <w:qFormat/>
    <w:rsid w:val="008E7D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E7D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8E7D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8E7D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D3A5D"/>
    <w:rPr>
      <w:b/>
      <w:bCs/>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6D3A5D"/>
    <w:pPr>
      <w:ind w:left="720"/>
      <w:contextualSpacing/>
    </w:pPr>
  </w:style>
  <w:style w:type="table" w:styleId="Tablaconcuadrcula">
    <w:name w:val="Table Grid"/>
    <w:basedOn w:val="Tablanormal"/>
    <w:uiPriority w:val="59"/>
    <w:rsid w:val="0031022F"/>
    <w:pPr>
      <w:spacing w:after="0" w:line="240" w:lineRule="auto"/>
    </w:pPr>
    <w:rPr>
      <w:rFonts w:ascii="Calibri" w:eastAsia="Calibri" w:hAnsi="Calibri"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nhideWhenUsed/>
    <w:rsid w:val="0031022F"/>
    <w:pPr>
      <w:tabs>
        <w:tab w:val="center" w:pos="4419"/>
        <w:tab w:val="right" w:pos="8838"/>
      </w:tabs>
      <w:spacing w:after="0" w:line="240" w:lineRule="auto"/>
    </w:pPr>
  </w:style>
  <w:style w:type="character" w:customStyle="1" w:styleId="EncabezadoCar">
    <w:name w:val="Encabezado Car"/>
    <w:basedOn w:val="Fuentedeprrafopredeter"/>
    <w:link w:val="Encabezado"/>
    <w:rsid w:val="0031022F"/>
  </w:style>
  <w:style w:type="paragraph" w:styleId="Piedepgina">
    <w:name w:val="footer"/>
    <w:basedOn w:val="Normal"/>
    <w:link w:val="PiedepginaCar"/>
    <w:uiPriority w:val="99"/>
    <w:unhideWhenUsed/>
    <w:rsid w:val="003102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022F"/>
  </w:style>
  <w:style w:type="paragraph" w:styleId="Textodeglobo">
    <w:name w:val="Balloon Text"/>
    <w:basedOn w:val="Normal"/>
    <w:link w:val="TextodegloboCar"/>
    <w:uiPriority w:val="99"/>
    <w:semiHidden/>
    <w:unhideWhenUsed/>
    <w:rsid w:val="003102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22F"/>
    <w:rPr>
      <w:rFonts w:ascii="Tahoma" w:hAnsi="Tahoma" w:cs="Tahoma"/>
      <w:sz w:val="16"/>
      <w:szCs w:val="16"/>
    </w:rPr>
  </w:style>
  <w:style w:type="paragraph" w:styleId="Sinespaciado">
    <w:name w:val="No Spacing"/>
    <w:uiPriority w:val="1"/>
    <w:qFormat/>
    <w:rsid w:val="007A1AB2"/>
    <w:pPr>
      <w:spacing w:after="0" w:line="240" w:lineRule="auto"/>
    </w:pPr>
  </w:style>
  <w:style w:type="paragraph" w:styleId="NormalWeb">
    <w:name w:val="Normal (Web)"/>
    <w:basedOn w:val="Normal"/>
    <w:uiPriority w:val="99"/>
    <w:semiHidden/>
    <w:unhideWhenUsed/>
    <w:rsid w:val="008424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42457"/>
    <w:rPr>
      <w:color w:val="0000FF" w:themeColor="hyperlink"/>
      <w:u w:val="single"/>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B86DAF"/>
  </w:style>
  <w:style w:type="character" w:customStyle="1" w:styleId="Ttulo1Car">
    <w:name w:val="Título 1 Car"/>
    <w:basedOn w:val="Fuentedeprrafopredeter"/>
    <w:link w:val="Ttulo1"/>
    <w:uiPriority w:val="9"/>
    <w:rsid w:val="008E7D18"/>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E7D18"/>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8E7D18"/>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8E7D18"/>
    <w:rPr>
      <w:rFonts w:asciiTheme="majorHAnsi" w:eastAsiaTheme="majorEastAsia" w:hAnsiTheme="majorHAnsi" w:cstheme="majorBidi"/>
      <w:i/>
      <w:iCs/>
      <w:color w:val="365F91" w:themeColor="accent1" w:themeShade="BF"/>
    </w:rPr>
  </w:style>
  <w:style w:type="table" w:styleId="Tabladelista3-nfasis3">
    <w:name w:val="List Table 3 Accent 3"/>
    <w:basedOn w:val="Tablanormal"/>
    <w:uiPriority w:val="48"/>
    <w:rsid w:val="00866A5C"/>
    <w:pPr>
      <w:spacing w:after="0"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Descripcin">
    <w:name w:val="caption"/>
    <w:basedOn w:val="Normal"/>
    <w:next w:val="Normal"/>
    <w:uiPriority w:val="35"/>
    <w:unhideWhenUsed/>
    <w:qFormat/>
    <w:rsid w:val="00866A5C"/>
    <w:pPr>
      <w:spacing w:line="240" w:lineRule="auto"/>
    </w:pPr>
    <w:rPr>
      <w:i/>
      <w:iCs/>
      <w:color w:val="1F497D" w:themeColor="text2"/>
      <w:sz w:val="18"/>
      <w:szCs w:val="18"/>
    </w:rPr>
  </w:style>
  <w:style w:type="character" w:styleId="MquinadeescribirHTML">
    <w:name w:val="HTML Typewriter"/>
    <w:basedOn w:val="Fuentedeprrafopredeter"/>
    <w:uiPriority w:val="99"/>
    <w:semiHidden/>
    <w:unhideWhenUsed/>
    <w:rsid w:val="0043356B"/>
    <w:rPr>
      <w:rFonts w:ascii="Courier New" w:eastAsiaTheme="minorHAnsi" w:hAnsi="Courier New" w:cs="Courier New" w:hint="default"/>
      <w:sz w:val="20"/>
      <w:szCs w:val="20"/>
    </w:rPr>
  </w:style>
  <w:style w:type="character" w:customStyle="1" w:styleId="apple-converted-space">
    <w:name w:val="apple-converted-space"/>
    <w:basedOn w:val="Fuentedeprrafopredeter"/>
    <w:rsid w:val="00433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18897">
      <w:bodyDiv w:val="1"/>
      <w:marLeft w:val="0"/>
      <w:marRight w:val="0"/>
      <w:marTop w:val="0"/>
      <w:marBottom w:val="0"/>
      <w:divBdr>
        <w:top w:val="none" w:sz="0" w:space="0" w:color="auto"/>
        <w:left w:val="none" w:sz="0" w:space="0" w:color="auto"/>
        <w:bottom w:val="none" w:sz="0" w:space="0" w:color="auto"/>
        <w:right w:val="none" w:sz="0" w:space="0" w:color="auto"/>
      </w:divBdr>
    </w:div>
    <w:div w:id="660734894">
      <w:bodyDiv w:val="1"/>
      <w:marLeft w:val="0"/>
      <w:marRight w:val="0"/>
      <w:marTop w:val="0"/>
      <w:marBottom w:val="0"/>
      <w:divBdr>
        <w:top w:val="none" w:sz="0" w:space="0" w:color="auto"/>
        <w:left w:val="none" w:sz="0" w:space="0" w:color="auto"/>
        <w:bottom w:val="none" w:sz="0" w:space="0" w:color="auto"/>
        <w:right w:val="none" w:sz="0" w:space="0" w:color="auto"/>
      </w:divBdr>
    </w:div>
    <w:div w:id="1387490791">
      <w:bodyDiv w:val="1"/>
      <w:marLeft w:val="0"/>
      <w:marRight w:val="0"/>
      <w:marTop w:val="0"/>
      <w:marBottom w:val="0"/>
      <w:divBdr>
        <w:top w:val="none" w:sz="0" w:space="0" w:color="auto"/>
        <w:left w:val="none" w:sz="0" w:space="0" w:color="auto"/>
        <w:bottom w:val="none" w:sz="0" w:space="0" w:color="auto"/>
        <w:right w:val="none" w:sz="0" w:space="0" w:color="auto"/>
      </w:divBdr>
    </w:div>
    <w:div w:id="1711421761">
      <w:bodyDiv w:val="1"/>
      <w:marLeft w:val="0"/>
      <w:marRight w:val="0"/>
      <w:marTop w:val="0"/>
      <w:marBottom w:val="0"/>
      <w:divBdr>
        <w:top w:val="none" w:sz="0" w:space="0" w:color="auto"/>
        <w:left w:val="none" w:sz="0" w:space="0" w:color="auto"/>
        <w:bottom w:val="none" w:sz="0" w:space="0" w:color="auto"/>
        <w:right w:val="none" w:sz="0" w:space="0" w:color="auto"/>
      </w:divBdr>
    </w:div>
    <w:div w:id="1774399128">
      <w:bodyDiv w:val="1"/>
      <w:marLeft w:val="0"/>
      <w:marRight w:val="0"/>
      <w:marTop w:val="0"/>
      <w:marBottom w:val="0"/>
      <w:divBdr>
        <w:top w:val="none" w:sz="0" w:space="0" w:color="auto"/>
        <w:left w:val="none" w:sz="0" w:space="0" w:color="auto"/>
        <w:bottom w:val="none" w:sz="0" w:space="0" w:color="auto"/>
        <w:right w:val="none" w:sz="0" w:space="0" w:color="auto"/>
      </w:divBdr>
    </w:div>
    <w:div w:id="18184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OpenDocu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org/iso/catalogue_detail?csnumber=434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asis-open.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A9B5-CDA3-4160-A5FE-BEF20128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2523</Words>
  <Characters>13881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Yuridia Berenice Moreno García</dc:creator>
  <cp:lastModifiedBy>Ismael Camargo Mata</cp:lastModifiedBy>
  <cp:revision>3</cp:revision>
  <cp:lastPrinted>2015-09-11T03:41:00Z</cp:lastPrinted>
  <dcterms:created xsi:type="dcterms:W3CDTF">2017-01-09T23:40:00Z</dcterms:created>
  <dcterms:modified xsi:type="dcterms:W3CDTF">2017-01-10T22:37:00Z</dcterms:modified>
</cp:coreProperties>
</file>