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X="-577" w:tblpY="-5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7D31FA" w14:paraId="6E061456" w14:textId="77777777" w:rsidTr="00EF75C6">
        <w:tc>
          <w:tcPr>
            <w:tcW w:w="9918" w:type="dxa"/>
            <w:gridSpan w:val="2"/>
            <w:shd w:val="clear" w:color="auto" w:fill="5D3989"/>
          </w:tcPr>
          <w:p w14:paraId="619992A2" w14:textId="77777777" w:rsidR="007D31FA" w:rsidRPr="00057DBA" w:rsidRDefault="007D31FA" w:rsidP="00EF75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7DBA">
              <w:rPr>
                <w:rFonts w:ascii="Arial" w:hAnsi="Arial" w:cs="Arial"/>
                <w:b/>
                <w:bCs/>
                <w:color w:val="FFFFFF" w:themeColor="background1"/>
              </w:rPr>
              <w:t>Minuta de reunión</w:t>
            </w:r>
          </w:p>
          <w:p w14:paraId="5B9B407E" w14:textId="77777777" w:rsidR="007D31FA" w:rsidRPr="00057DBA" w:rsidRDefault="007D31FA" w:rsidP="00EF75C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DBA">
              <w:rPr>
                <w:rFonts w:ascii="Arial" w:hAnsi="Arial" w:cs="Arial"/>
                <w:b/>
                <w:bCs/>
                <w:color w:val="FFFFFF" w:themeColor="background1"/>
              </w:rPr>
              <w:t>Grupo Interdisciplinario del OGAIPO</w:t>
            </w:r>
          </w:p>
        </w:tc>
      </w:tr>
      <w:tr w:rsidR="007D31FA" w14:paraId="27A430A8" w14:textId="77777777" w:rsidTr="00EF75C6">
        <w:tc>
          <w:tcPr>
            <w:tcW w:w="2972" w:type="dxa"/>
          </w:tcPr>
          <w:p w14:paraId="7A471D07" w14:textId="77777777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  <w:bCs/>
              </w:rPr>
              <w:t>Tipo de reunión</w:t>
            </w:r>
          </w:p>
        </w:tc>
        <w:tc>
          <w:tcPr>
            <w:tcW w:w="6946" w:type="dxa"/>
          </w:tcPr>
          <w:p w14:paraId="15318411" w14:textId="77777777" w:rsidR="007D31FA" w:rsidRPr="00057DBA" w:rsidRDefault="007D31FA" w:rsidP="00EF75C6">
            <w:pPr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Ordinaria</w:t>
            </w:r>
          </w:p>
        </w:tc>
      </w:tr>
      <w:tr w:rsidR="007D31FA" w14:paraId="47752DC0" w14:textId="77777777" w:rsidTr="00EF75C6">
        <w:tc>
          <w:tcPr>
            <w:tcW w:w="2972" w:type="dxa"/>
          </w:tcPr>
          <w:p w14:paraId="60EB6483" w14:textId="77777777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  <w:bCs/>
              </w:rPr>
              <w:t>Número de reunión</w:t>
            </w:r>
          </w:p>
        </w:tc>
        <w:tc>
          <w:tcPr>
            <w:tcW w:w="6946" w:type="dxa"/>
          </w:tcPr>
          <w:p w14:paraId="417BDA5E" w14:textId="38BDFEB1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</w:tr>
      <w:tr w:rsidR="007D31FA" w14:paraId="2358BD87" w14:textId="77777777" w:rsidTr="00EF75C6">
        <w:tc>
          <w:tcPr>
            <w:tcW w:w="2972" w:type="dxa"/>
          </w:tcPr>
          <w:p w14:paraId="75690446" w14:textId="77777777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  <w:bCs/>
              </w:rPr>
              <w:t>Lugar</w:t>
            </w:r>
          </w:p>
        </w:tc>
        <w:tc>
          <w:tcPr>
            <w:tcW w:w="6946" w:type="dxa"/>
          </w:tcPr>
          <w:p w14:paraId="58D5F65A" w14:textId="77777777" w:rsidR="007D31FA" w:rsidRPr="00057DBA" w:rsidRDefault="007D31FA" w:rsidP="00EF75C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La reunión</w:t>
            </w:r>
            <w:r w:rsidRPr="00057DBA">
              <w:rPr>
                <w:rFonts w:ascii="Arial" w:hAnsi="Arial" w:cs="Arial"/>
                <w:bCs/>
              </w:rPr>
              <w:t xml:space="preserve"> de trabajo se llevó a cabo </w:t>
            </w:r>
            <w:r w:rsidRPr="00057DBA">
              <w:rPr>
                <w:rFonts w:ascii="Arial" w:hAnsi="Arial" w:cs="Arial"/>
                <w:b/>
                <w:bCs/>
              </w:rPr>
              <w:t>vía remota por medios digitales</w:t>
            </w:r>
            <w:r w:rsidRPr="00057DBA">
              <w:rPr>
                <w:rFonts w:ascii="Arial" w:hAnsi="Arial" w:cs="Arial"/>
                <w:bCs/>
              </w:rPr>
              <w:t xml:space="preserve">, </w:t>
            </w:r>
            <w:r w:rsidRPr="00057DBA">
              <w:rPr>
                <w:rFonts w:ascii="Arial" w:hAnsi="Arial" w:cs="Arial"/>
                <w:b/>
                <w:bCs/>
              </w:rPr>
              <w:t>a través de la plataforma electrónica denominada Zoom.</w:t>
            </w:r>
          </w:p>
        </w:tc>
      </w:tr>
      <w:tr w:rsidR="007D31FA" w14:paraId="18A4629C" w14:textId="77777777" w:rsidTr="00EF75C6">
        <w:tc>
          <w:tcPr>
            <w:tcW w:w="2972" w:type="dxa"/>
          </w:tcPr>
          <w:p w14:paraId="1E6BADED" w14:textId="77777777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  <w:bCs/>
              </w:rPr>
              <w:t xml:space="preserve">Fecha </w:t>
            </w:r>
          </w:p>
        </w:tc>
        <w:tc>
          <w:tcPr>
            <w:tcW w:w="6946" w:type="dxa"/>
          </w:tcPr>
          <w:p w14:paraId="23FC1452" w14:textId="0C227825" w:rsidR="007D31FA" w:rsidRPr="00057DBA" w:rsidRDefault="007D31FA" w:rsidP="007D31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  <w:r w:rsidRPr="00057DBA">
              <w:rPr>
                <w:rFonts w:ascii="Arial" w:hAnsi="Arial" w:cs="Arial"/>
                <w:bCs/>
              </w:rPr>
              <w:t xml:space="preserve"> de </w:t>
            </w:r>
            <w:r>
              <w:rPr>
                <w:rFonts w:ascii="Arial" w:hAnsi="Arial" w:cs="Arial"/>
                <w:bCs/>
              </w:rPr>
              <w:t>enero de 2023</w:t>
            </w:r>
          </w:p>
        </w:tc>
      </w:tr>
      <w:tr w:rsidR="007D31FA" w14:paraId="5B130C4F" w14:textId="77777777" w:rsidTr="00EF75C6">
        <w:tc>
          <w:tcPr>
            <w:tcW w:w="2972" w:type="dxa"/>
          </w:tcPr>
          <w:p w14:paraId="7567C5D2" w14:textId="77777777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  <w:bCs/>
              </w:rPr>
              <w:t>Hora de Inicio</w:t>
            </w:r>
          </w:p>
        </w:tc>
        <w:tc>
          <w:tcPr>
            <w:tcW w:w="6946" w:type="dxa"/>
          </w:tcPr>
          <w:p w14:paraId="291D109C" w14:textId="2787826A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10:12</w:t>
            </w:r>
            <w:r w:rsidRPr="00057DBA">
              <w:rPr>
                <w:rFonts w:ascii="Arial" w:hAnsi="Arial" w:cs="Arial"/>
                <w:bCs/>
              </w:rPr>
              <w:t xml:space="preserve"> am</w:t>
            </w:r>
          </w:p>
        </w:tc>
      </w:tr>
      <w:tr w:rsidR="007D31FA" w14:paraId="1AE34D07" w14:textId="77777777" w:rsidTr="00EF75C6">
        <w:tc>
          <w:tcPr>
            <w:tcW w:w="2972" w:type="dxa"/>
          </w:tcPr>
          <w:p w14:paraId="04CC1229" w14:textId="77777777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  <w:bCs/>
              </w:rPr>
              <w:t>Hora de cierre</w:t>
            </w:r>
          </w:p>
        </w:tc>
        <w:tc>
          <w:tcPr>
            <w:tcW w:w="6946" w:type="dxa"/>
          </w:tcPr>
          <w:p w14:paraId="23E1721B" w14:textId="66EE344A" w:rsidR="007D31FA" w:rsidRPr="00057DBA" w:rsidRDefault="007D31FA" w:rsidP="00EF75C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10:28</w:t>
            </w:r>
            <w:r w:rsidRPr="00057DBA">
              <w:rPr>
                <w:rFonts w:ascii="Arial" w:hAnsi="Arial" w:cs="Arial"/>
                <w:bCs/>
              </w:rPr>
              <w:t xml:space="preserve"> am</w:t>
            </w:r>
          </w:p>
        </w:tc>
      </w:tr>
    </w:tbl>
    <w:p w14:paraId="1D0EC981" w14:textId="77777777" w:rsidR="007D31FA" w:rsidRDefault="007D31FA" w:rsidP="007D31FA">
      <w:pPr>
        <w:rPr>
          <w:rFonts w:ascii="Arial" w:hAnsi="Arial" w:cs="Arial"/>
          <w:b/>
          <w:bCs/>
          <w:sz w:val="22"/>
        </w:rPr>
      </w:pPr>
    </w:p>
    <w:p w14:paraId="5B552A09" w14:textId="77777777" w:rsidR="007D31FA" w:rsidRPr="00057DBA" w:rsidRDefault="007D31FA" w:rsidP="007D31FA">
      <w:pPr>
        <w:rPr>
          <w:rFonts w:ascii="Arial" w:hAnsi="Arial" w:cs="Arial"/>
          <w:b/>
          <w:bCs/>
        </w:rPr>
      </w:pPr>
      <w:r w:rsidRPr="00057DBA">
        <w:rPr>
          <w:rFonts w:ascii="Arial" w:hAnsi="Arial" w:cs="Arial"/>
          <w:b/>
          <w:bCs/>
        </w:rPr>
        <w:t>Lista de asistentes:</w:t>
      </w:r>
    </w:p>
    <w:p w14:paraId="6D3A82BE" w14:textId="77777777" w:rsidR="007D31FA" w:rsidRPr="008818D1" w:rsidRDefault="007D31FA" w:rsidP="007D31FA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57DBA">
        <w:rPr>
          <w:rFonts w:ascii="Arial" w:hAnsi="Arial" w:cs="Arial"/>
          <w:bCs/>
          <w:sz w:val="24"/>
          <w:szCs w:val="24"/>
        </w:rPr>
        <w:t xml:space="preserve">La lista de asistencia se encuentra en el </w:t>
      </w:r>
      <w:r w:rsidRPr="008818D1">
        <w:rPr>
          <w:rFonts w:ascii="Arial" w:hAnsi="Arial" w:cs="Arial"/>
          <w:b/>
          <w:bCs/>
          <w:sz w:val="24"/>
          <w:szCs w:val="24"/>
        </w:rPr>
        <w:t>Anexo 01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077"/>
        <w:gridCol w:w="6846"/>
      </w:tblGrid>
      <w:tr w:rsidR="007D31FA" w:rsidRPr="00233FE6" w14:paraId="5A082B95" w14:textId="77777777" w:rsidTr="00EF75C6">
        <w:trPr>
          <w:tblHeader/>
        </w:trPr>
        <w:tc>
          <w:tcPr>
            <w:tcW w:w="9923" w:type="dxa"/>
            <w:gridSpan w:val="2"/>
            <w:shd w:val="clear" w:color="auto" w:fill="5D3989"/>
          </w:tcPr>
          <w:p w14:paraId="78B6AD4E" w14:textId="77777777" w:rsidR="007D31FA" w:rsidRPr="00057DBA" w:rsidRDefault="007D31FA" w:rsidP="00EF75C6">
            <w:pPr>
              <w:jc w:val="center"/>
              <w:rPr>
                <w:rFonts w:ascii="Arial" w:hAnsi="Arial" w:cs="Arial"/>
                <w:bCs/>
                <w:color w:val="FFFFFF" w:themeColor="background1"/>
              </w:rPr>
            </w:pPr>
          </w:p>
          <w:p w14:paraId="132373F6" w14:textId="77777777" w:rsidR="007D31FA" w:rsidRPr="00057DBA" w:rsidRDefault="007D31FA" w:rsidP="00EF75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7DBA">
              <w:rPr>
                <w:rFonts w:ascii="Arial" w:hAnsi="Arial" w:cs="Arial"/>
                <w:b/>
                <w:bCs/>
                <w:color w:val="FFFFFF" w:themeColor="background1"/>
              </w:rPr>
              <w:t>Asuntos tratados</w:t>
            </w:r>
          </w:p>
          <w:p w14:paraId="52246A20" w14:textId="77777777" w:rsidR="007D31FA" w:rsidRPr="00057DBA" w:rsidRDefault="007D31FA" w:rsidP="00EF75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D31FA" w:rsidRPr="00233FE6" w14:paraId="47A53414" w14:textId="77777777" w:rsidTr="00EF75C6">
        <w:trPr>
          <w:trHeight w:val="383"/>
          <w:tblHeader/>
        </w:trPr>
        <w:tc>
          <w:tcPr>
            <w:tcW w:w="3077" w:type="dxa"/>
            <w:shd w:val="clear" w:color="auto" w:fill="5D3989"/>
          </w:tcPr>
          <w:p w14:paraId="067CEACB" w14:textId="77777777" w:rsidR="007D31FA" w:rsidRPr="00057DBA" w:rsidRDefault="007D31FA" w:rsidP="00EF75C6">
            <w:pPr>
              <w:tabs>
                <w:tab w:val="left" w:pos="336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7DBA">
              <w:rPr>
                <w:rFonts w:ascii="Arial" w:hAnsi="Arial" w:cs="Arial"/>
                <w:b/>
                <w:bCs/>
                <w:color w:val="FFFFFF" w:themeColor="background1"/>
              </w:rPr>
              <w:t>Asunto</w:t>
            </w:r>
          </w:p>
        </w:tc>
        <w:tc>
          <w:tcPr>
            <w:tcW w:w="6846" w:type="dxa"/>
            <w:shd w:val="clear" w:color="auto" w:fill="5D3989"/>
          </w:tcPr>
          <w:p w14:paraId="0148244C" w14:textId="77777777" w:rsidR="007D31FA" w:rsidRPr="00057DBA" w:rsidRDefault="007D31FA" w:rsidP="00EF75C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057DBA">
              <w:rPr>
                <w:rFonts w:ascii="Arial" w:hAnsi="Arial" w:cs="Arial"/>
                <w:b/>
                <w:bCs/>
                <w:color w:val="FFFFFF" w:themeColor="background1"/>
              </w:rPr>
              <w:t>Desarrollo</w:t>
            </w:r>
          </w:p>
        </w:tc>
      </w:tr>
      <w:tr w:rsidR="007D31FA" w:rsidRPr="00233FE6" w14:paraId="245DAC57" w14:textId="77777777" w:rsidTr="00EF75C6">
        <w:trPr>
          <w:trHeight w:val="475"/>
        </w:trPr>
        <w:tc>
          <w:tcPr>
            <w:tcW w:w="3077" w:type="dxa"/>
          </w:tcPr>
          <w:p w14:paraId="27CBAD26" w14:textId="77777777" w:rsidR="007D31FA" w:rsidRPr="00057DBA" w:rsidRDefault="007D31FA" w:rsidP="00EF75C6">
            <w:pPr>
              <w:jc w:val="both"/>
              <w:rPr>
                <w:rFonts w:ascii="Arial" w:hAnsi="Arial" w:cs="Arial"/>
              </w:rPr>
            </w:pPr>
            <w:r w:rsidRPr="00057DBA">
              <w:rPr>
                <w:rFonts w:ascii="Arial" w:hAnsi="Arial" w:cs="Arial"/>
              </w:rPr>
              <w:t xml:space="preserve">Lista de asistencia </w:t>
            </w:r>
          </w:p>
          <w:p w14:paraId="4BBE4D7E" w14:textId="77777777" w:rsidR="007D31FA" w:rsidRPr="00057DBA" w:rsidRDefault="007D31FA" w:rsidP="00EF75C6">
            <w:pPr>
              <w:jc w:val="both"/>
              <w:rPr>
                <w:rFonts w:ascii="Arial" w:hAnsi="Arial" w:cs="Arial"/>
                <w:bCs/>
              </w:rPr>
            </w:pPr>
            <w:r w:rsidRPr="00057DBA">
              <w:rPr>
                <w:rFonts w:ascii="Arial" w:hAnsi="Arial" w:cs="Arial"/>
              </w:rPr>
              <w:t xml:space="preserve">Declaración del </w:t>
            </w:r>
            <w:r w:rsidRPr="00BB45AE">
              <w:rPr>
                <w:rFonts w:ascii="Arial" w:hAnsi="Arial" w:cs="Arial"/>
                <w:i/>
              </w:rPr>
              <w:t>quórum</w:t>
            </w:r>
            <w:r w:rsidRPr="00057DBA">
              <w:rPr>
                <w:rFonts w:ascii="Arial" w:hAnsi="Arial" w:cs="Arial"/>
              </w:rPr>
              <w:t xml:space="preserve"> legal, </w:t>
            </w:r>
            <w:r>
              <w:rPr>
                <w:rFonts w:ascii="Arial" w:hAnsi="Arial" w:cs="Arial"/>
              </w:rPr>
              <w:t>así como la l</w:t>
            </w:r>
            <w:r w:rsidRPr="00F16CCB">
              <w:rPr>
                <w:rFonts w:ascii="Arial" w:hAnsi="Arial" w:cs="Arial"/>
              </w:rPr>
              <w:t>ectura y aprobación de los asuntos a tratar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46" w:type="dxa"/>
          </w:tcPr>
          <w:p w14:paraId="5EAFA793" w14:textId="14530919" w:rsidR="007D31FA" w:rsidRPr="007D0EE9" w:rsidRDefault="007D31FA" w:rsidP="00EF75C6">
            <w:pPr>
              <w:jc w:val="both"/>
              <w:rPr>
                <w:rFonts w:ascii="Arial" w:hAnsi="Arial" w:cs="Arial"/>
                <w:bCs/>
              </w:rPr>
            </w:pPr>
            <w:r w:rsidRPr="007D0EE9">
              <w:rPr>
                <w:rFonts w:ascii="Arial" w:hAnsi="Arial" w:cs="Arial"/>
                <w:bCs/>
              </w:rPr>
              <w:t xml:space="preserve">El titular del Área Coordinadora de Archivos realizó el pase de lista correspondiente para lo cual declaró la existencia de quórum legal, dando inicio a la reunión a las </w:t>
            </w:r>
            <w:r w:rsidR="00196975">
              <w:rPr>
                <w:rFonts w:ascii="Arial" w:hAnsi="Arial" w:cs="Arial"/>
                <w:bCs/>
              </w:rPr>
              <w:t>diez horas con doce</w:t>
            </w:r>
            <w:r w:rsidRPr="007D0EE9">
              <w:rPr>
                <w:rFonts w:ascii="Arial" w:hAnsi="Arial" w:cs="Arial"/>
                <w:bCs/>
              </w:rPr>
              <w:t xml:space="preserve"> minutos.</w:t>
            </w:r>
          </w:p>
          <w:p w14:paraId="13BC9336" w14:textId="77777777" w:rsidR="007D31FA" w:rsidRPr="007D0EE9" w:rsidRDefault="007D31FA" w:rsidP="00EF75C6">
            <w:pPr>
              <w:jc w:val="both"/>
              <w:rPr>
                <w:rFonts w:ascii="Arial" w:hAnsi="Arial" w:cs="Arial"/>
                <w:bCs/>
              </w:rPr>
            </w:pPr>
          </w:p>
          <w:p w14:paraId="44684C2B" w14:textId="67966A2E" w:rsidR="007D31FA" w:rsidRPr="007D0EE9" w:rsidRDefault="007D31FA" w:rsidP="00EF75C6">
            <w:pPr>
              <w:jc w:val="both"/>
              <w:rPr>
                <w:rFonts w:ascii="Arial" w:hAnsi="Arial" w:cs="Arial"/>
                <w:bCs/>
              </w:rPr>
            </w:pPr>
            <w:r w:rsidRPr="007D0EE9">
              <w:rPr>
                <w:rFonts w:ascii="Arial" w:hAnsi="Arial" w:cs="Arial"/>
                <w:bCs/>
              </w:rPr>
              <w:t>Por unanimidad de votos se aprobaron los asun</w:t>
            </w:r>
            <w:r w:rsidR="00196975">
              <w:rPr>
                <w:rFonts w:ascii="Arial" w:hAnsi="Arial" w:cs="Arial"/>
                <w:bCs/>
              </w:rPr>
              <w:t>tos a tratar en la Primera</w:t>
            </w:r>
            <w:r w:rsidRPr="007D0EE9">
              <w:rPr>
                <w:rFonts w:ascii="Arial" w:hAnsi="Arial" w:cs="Arial"/>
                <w:bCs/>
              </w:rPr>
              <w:t xml:space="preserve"> Reun</w:t>
            </w:r>
            <w:r w:rsidR="00196975">
              <w:rPr>
                <w:rFonts w:ascii="Arial" w:hAnsi="Arial" w:cs="Arial"/>
                <w:bCs/>
              </w:rPr>
              <w:t>ión de Ordinaria de Trabajo 2023</w:t>
            </w:r>
            <w:r w:rsidRPr="007D0EE9">
              <w:rPr>
                <w:rFonts w:ascii="Arial" w:hAnsi="Arial" w:cs="Arial"/>
                <w:bCs/>
              </w:rPr>
              <w:t xml:space="preserve"> del Grupo Interdisciplinario, siendo los siguientes:</w:t>
            </w:r>
          </w:p>
          <w:p w14:paraId="703EE762" w14:textId="77777777" w:rsidR="007D31FA" w:rsidRPr="007D0EE9" w:rsidRDefault="007D31FA" w:rsidP="00EF75C6">
            <w:pPr>
              <w:jc w:val="both"/>
              <w:rPr>
                <w:rFonts w:ascii="Arial" w:hAnsi="Arial" w:cs="Arial"/>
                <w:bCs/>
              </w:rPr>
            </w:pPr>
          </w:p>
          <w:p w14:paraId="4117D687" w14:textId="6060F911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 xml:space="preserve">Lista de Asistencia. - - - - - - - - - - - - - - - - - - - - - - - - </w:t>
            </w:r>
            <w:r>
              <w:rPr>
                <w:rFonts w:ascii="Arial" w:hAnsi="Arial" w:cs="Arial"/>
                <w:sz w:val="24"/>
                <w:szCs w:val="24"/>
              </w:rPr>
              <w:t xml:space="preserve">- - </w:t>
            </w:r>
          </w:p>
          <w:p w14:paraId="4A8DC818" w14:textId="1000BEAE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 xml:space="preserve">Declaración del quórum legal, o la inexistencia del mismo, así como la hora de inicio de la reunión de trabajo. - - - - - - - - - - - - - - - - - - - - </w:t>
            </w:r>
            <w:r>
              <w:rPr>
                <w:rFonts w:ascii="Arial" w:hAnsi="Arial" w:cs="Arial"/>
                <w:sz w:val="24"/>
                <w:szCs w:val="24"/>
              </w:rPr>
              <w:t xml:space="preserve">- - - - - - - - - - - - - - - </w:t>
            </w:r>
          </w:p>
          <w:p w14:paraId="3C420C66" w14:textId="49BB3EA4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 xml:space="preserve">Lectura y aprobación de los asuntos a tratar. - - - - - - </w:t>
            </w:r>
            <w:r>
              <w:rPr>
                <w:rFonts w:ascii="Arial" w:hAnsi="Arial" w:cs="Arial"/>
                <w:sz w:val="24"/>
                <w:szCs w:val="24"/>
              </w:rPr>
              <w:t xml:space="preserve">- - </w:t>
            </w:r>
          </w:p>
          <w:p w14:paraId="4CE26A10" w14:textId="72269071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 xml:space="preserve">Integración de la titular de la Dirección de Comunicación, Capacitación, Evaluación, Archivo y Datos Personales del OGAIPO, al Grupo Interdisciplinario. - - - - - - - - - - - - - - - - - - - - - - - - - - </w:t>
            </w:r>
            <w:r>
              <w:rPr>
                <w:rFonts w:ascii="Arial" w:hAnsi="Arial" w:cs="Arial"/>
                <w:sz w:val="24"/>
                <w:szCs w:val="24"/>
              </w:rPr>
              <w:t xml:space="preserve">- - </w:t>
            </w:r>
          </w:p>
          <w:p w14:paraId="250BCCD1" w14:textId="2719107E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Integración de la titular de la Dirección de Administración del OGAIPO, al Grupo Int</w:t>
            </w:r>
            <w:r>
              <w:rPr>
                <w:rFonts w:ascii="Arial" w:hAnsi="Arial" w:cs="Arial"/>
                <w:sz w:val="24"/>
                <w:szCs w:val="24"/>
              </w:rPr>
              <w:t xml:space="preserve">erdisciplinario. </w:t>
            </w:r>
          </w:p>
          <w:p w14:paraId="50BD4212" w14:textId="63EE2433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Integración de la titular de la Dirección de Asuntos Jurídicos del OGAIPO, al Grupo Interdiscip</w:t>
            </w:r>
            <w:r>
              <w:rPr>
                <w:rFonts w:ascii="Arial" w:hAnsi="Arial" w:cs="Arial"/>
                <w:sz w:val="24"/>
                <w:szCs w:val="24"/>
              </w:rPr>
              <w:t xml:space="preserve">linario. - - - - </w:t>
            </w:r>
          </w:p>
          <w:p w14:paraId="079C85B5" w14:textId="0187B932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Integración del titular de la Dirección de Gobierno Abierto del OGAIPO, al Grupo Interdisciplinario</w:t>
            </w:r>
            <w:r>
              <w:rPr>
                <w:rFonts w:ascii="Arial" w:hAnsi="Arial" w:cs="Arial"/>
                <w:sz w:val="24"/>
                <w:szCs w:val="24"/>
              </w:rPr>
              <w:t xml:space="preserve">. - - - - - - </w:t>
            </w:r>
          </w:p>
          <w:p w14:paraId="1AC22A14" w14:textId="08DA53B5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lastRenderedPageBreak/>
              <w:t>Integración del titular de la Dirección de Tecnologías de Transparencia del OGAIPO, al Grupo Interdis</w:t>
            </w:r>
            <w:r>
              <w:rPr>
                <w:rFonts w:ascii="Arial" w:hAnsi="Arial" w:cs="Arial"/>
                <w:sz w:val="24"/>
                <w:szCs w:val="24"/>
              </w:rPr>
              <w:t xml:space="preserve">ciplinario. </w:t>
            </w:r>
          </w:p>
          <w:p w14:paraId="25D4F305" w14:textId="2D5610F0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Seguimiento al Índice de Equivalencias de Series Documentales IEAIP-COTAIPO-IAIP-OGAIPO. - - - - -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7BD1AB" w14:textId="6E4A9D48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Asuntos generales. - - - - - - - - - - - - - - - - - - - - - - - -</w:t>
            </w:r>
            <w:r>
              <w:rPr>
                <w:rFonts w:ascii="Arial" w:hAnsi="Arial" w:cs="Arial"/>
                <w:sz w:val="24"/>
                <w:szCs w:val="24"/>
              </w:rPr>
              <w:t xml:space="preserve"> - - </w:t>
            </w:r>
          </w:p>
          <w:p w14:paraId="2A277892" w14:textId="3A96D7EF" w:rsidR="00196975" w:rsidRPr="00196975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Lectura de los acuerdos del Grupo Interdiscipl</w:t>
            </w:r>
            <w:r>
              <w:rPr>
                <w:rFonts w:ascii="Arial" w:hAnsi="Arial" w:cs="Arial"/>
                <w:sz w:val="24"/>
                <w:szCs w:val="24"/>
              </w:rPr>
              <w:t xml:space="preserve">inario. - - </w:t>
            </w:r>
          </w:p>
          <w:p w14:paraId="3136F4E4" w14:textId="76B53DB0" w:rsidR="007D31FA" w:rsidRPr="001532ED" w:rsidRDefault="00196975" w:rsidP="0019697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6975">
              <w:rPr>
                <w:rFonts w:ascii="Arial" w:hAnsi="Arial" w:cs="Arial"/>
                <w:sz w:val="24"/>
                <w:szCs w:val="24"/>
              </w:rPr>
              <w:t>Clausura de la reunión de trabajo. - - - - - - - - - - - - - -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</w:tc>
      </w:tr>
      <w:tr w:rsidR="007D31FA" w:rsidRPr="00233FE6" w14:paraId="22431777" w14:textId="77777777" w:rsidTr="0050015A">
        <w:trPr>
          <w:trHeight w:val="600"/>
        </w:trPr>
        <w:tc>
          <w:tcPr>
            <w:tcW w:w="3077" w:type="dxa"/>
          </w:tcPr>
          <w:p w14:paraId="38A95375" w14:textId="6DD76CAB" w:rsidR="007D31FA" w:rsidRPr="00977485" w:rsidRDefault="0050015A" w:rsidP="00EF75C6">
            <w:pPr>
              <w:jc w:val="both"/>
              <w:rPr>
                <w:rFonts w:ascii="Arial" w:hAnsi="Arial" w:cs="Arial"/>
              </w:rPr>
            </w:pPr>
            <w:r w:rsidRPr="00196975">
              <w:rPr>
                <w:rFonts w:ascii="Arial" w:hAnsi="Arial" w:cs="Arial"/>
              </w:rPr>
              <w:lastRenderedPageBreak/>
              <w:t>Integración de la titular de la Dirección de Comunicación, Capacitación, Evaluación, Archivo y Datos Personales del OGAIPO, al Grupo Interdisciplinario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6846" w:type="dxa"/>
          </w:tcPr>
          <w:p w14:paraId="4FDABA5E" w14:textId="3AADEE07" w:rsidR="0050015A" w:rsidRPr="0050015A" w:rsidRDefault="007D31FA" w:rsidP="005001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</w:t>
            </w:r>
            <w:r w:rsidRPr="00D94CF7">
              <w:rPr>
                <w:rFonts w:ascii="Arial" w:hAnsi="Arial" w:cs="Arial"/>
                <w:bCs/>
              </w:rPr>
              <w:t>Titular del Área</w:t>
            </w:r>
            <w:r>
              <w:rPr>
                <w:rFonts w:ascii="Arial" w:hAnsi="Arial" w:cs="Arial"/>
                <w:bCs/>
              </w:rPr>
              <w:t xml:space="preserve"> Coordinadora de Archivos, C. Ca</w:t>
            </w:r>
            <w:r w:rsidR="0050015A">
              <w:rPr>
                <w:rFonts w:ascii="Arial" w:hAnsi="Arial" w:cs="Arial"/>
                <w:bCs/>
              </w:rPr>
              <w:t>rlos Bautista Rojas, señaló dio</w:t>
            </w:r>
            <w:r w:rsidR="0050015A" w:rsidRPr="0050015A">
              <w:rPr>
                <w:rFonts w:ascii="Arial" w:hAnsi="Arial" w:cs="Arial"/>
                <w:b/>
                <w:bCs/>
              </w:rPr>
              <w:t xml:space="preserve"> </w:t>
            </w:r>
            <w:r w:rsidR="0050015A" w:rsidRPr="0050015A">
              <w:rPr>
                <w:rFonts w:ascii="Arial" w:hAnsi="Arial" w:cs="Arial"/>
                <w:bCs/>
              </w:rPr>
              <w:t>cuenta de manera conjunta de los puntos 4 al 8 del orde</w:t>
            </w:r>
            <w:r w:rsidR="0050015A">
              <w:rPr>
                <w:rFonts w:ascii="Arial" w:hAnsi="Arial" w:cs="Arial"/>
                <w:bCs/>
              </w:rPr>
              <w:t>n del día, toda vez que se trató</w:t>
            </w:r>
            <w:r w:rsidR="0050015A" w:rsidRPr="0050015A">
              <w:rPr>
                <w:rFonts w:ascii="Arial" w:hAnsi="Arial" w:cs="Arial"/>
                <w:bCs/>
              </w:rPr>
              <w:t xml:space="preserve"> de la int</w:t>
            </w:r>
            <w:r w:rsidR="0013738B">
              <w:rPr>
                <w:rFonts w:ascii="Arial" w:hAnsi="Arial" w:cs="Arial"/>
                <w:bCs/>
              </w:rPr>
              <w:t>egración de 5 titulares de área</w:t>
            </w:r>
            <w:r w:rsidR="0050015A" w:rsidRPr="0050015A">
              <w:rPr>
                <w:rFonts w:ascii="Arial" w:hAnsi="Arial" w:cs="Arial"/>
                <w:bCs/>
              </w:rPr>
              <w:t xml:space="preserve"> al Grupo Interdisciplinario. Misma integración corresponde al siguiente orden:</w:t>
            </w:r>
          </w:p>
          <w:p w14:paraId="6F67C989" w14:textId="77777777" w:rsidR="0050015A" w:rsidRPr="0050015A" w:rsidRDefault="0050015A" w:rsidP="0050015A">
            <w:pPr>
              <w:jc w:val="both"/>
              <w:rPr>
                <w:rFonts w:ascii="Arial" w:hAnsi="Arial" w:cs="Arial"/>
                <w:bCs/>
              </w:rPr>
            </w:pPr>
          </w:p>
          <w:p w14:paraId="152C775A" w14:textId="77777777" w:rsidR="00000000" w:rsidRPr="0050015A" w:rsidRDefault="00FF0D67" w:rsidP="00500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50015A">
              <w:rPr>
                <w:rFonts w:ascii="Arial" w:hAnsi="Arial" w:cs="Arial"/>
                <w:bCs/>
              </w:rPr>
              <w:t xml:space="preserve">Con fecha 4 de enero de 2023, fue designada por el Presidente del Consejo General de este Órgano Garante, la </w:t>
            </w:r>
            <w:r w:rsidRPr="0050015A">
              <w:rPr>
                <w:rFonts w:ascii="Arial" w:hAnsi="Arial" w:cs="Arial"/>
                <w:b/>
                <w:bCs/>
              </w:rPr>
              <w:t xml:space="preserve">C. Sara Mariana Jara Carrasco </w:t>
            </w:r>
            <w:r w:rsidRPr="0050015A">
              <w:rPr>
                <w:rFonts w:ascii="Arial" w:hAnsi="Arial" w:cs="Arial"/>
                <w:bCs/>
              </w:rPr>
              <w:t>como titular de la Dirección de Comunicación, Capacitación, Evaluación, Archivo y Datos Personales del OGAIPO.</w:t>
            </w:r>
          </w:p>
          <w:p w14:paraId="65EB6AF2" w14:textId="77777777" w:rsidR="00000000" w:rsidRPr="0050015A" w:rsidRDefault="00FF0D67" w:rsidP="00500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50015A">
              <w:rPr>
                <w:rFonts w:ascii="Arial" w:hAnsi="Arial" w:cs="Arial"/>
                <w:bCs/>
              </w:rPr>
              <w:t xml:space="preserve">Con fecha 5 de enero de 2023, fue designada por el Presidente del Consejo General de este Órgano Garante, la </w:t>
            </w:r>
            <w:r w:rsidRPr="0050015A">
              <w:rPr>
                <w:rFonts w:ascii="Arial" w:hAnsi="Arial" w:cs="Arial"/>
                <w:b/>
                <w:bCs/>
              </w:rPr>
              <w:t>C. Consuelo Elizabeth Díaz Cruz</w:t>
            </w:r>
            <w:r w:rsidRPr="0050015A">
              <w:rPr>
                <w:rFonts w:ascii="Arial" w:hAnsi="Arial" w:cs="Arial"/>
                <w:bCs/>
              </w:rPr>
              <w:t xml:space="preserve"> como titular de la Dirección de administración del OGAIPO.</w:t>
            </w:r>
          </w:p>
          <w:p w14:paraId="1372A90C" w14:textId="77777777" w:rsidR="00000000" w:rsidRPr="0050015A" w:rsidRDefault="00FF0D67" w:rsidP="00500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50015A">
              <w:rPr>
                <w:rFonts w:ascii="Arial" w:hAnsi="Arial" w:cs="Arial"/>
                <w:bCs/>
              </w:rPr>
              <w:t>Con fecha 4 de enero de 2023, fue designada por el Presidente del Consejo Gen</w:t>
            </w:r>
            <w:r w:rsidRPr="0050015A">
              <w:rPr>
                <w:rFonts w:ascii="Arial" w:hAnsi="Arial" w:cs="Arial"/>
                <w:bCs/>
              </w:rPr>
              <w:t xml:space="preserve">eral de este Órgano Garante, la </w:t>
            </w:r>
            <w:r w:rsidRPr="0050015A">
              <w:rPr>
                <w:rFonts w:ascii="Arial" w:hAnsi="Arial" w:cs="Arial"/>
                <w:b/>
                <w:bCs/>
              </w:rPr>
              <w:t>C. Nancy Viridiana López Mejía</w:t>
            </w:r>
            <w:r w:rsidRPr="0050015A">
              <w:rPr>
                <w:rFonts w:ascii="Arial" w:hAnsi="Arial" w:cs="Arial"/>
                <w:bCs/>
              </w:rPr>
              <w:t xml:space="preserve"> como titular de la Dirección de Asuntos Jurídicos del OGAIPO</w:t>
            </w:r>
            <w:r w:rsidRPr="0050015A">
              <w:rPr>
                <w:rFonts w:ascii="Arial" w:hAnsi="Arial" w:cs="Arial"/>
                <w:bCs/>
              </w:rPr>
              <w:t>.</w:t>
            </w:r>
          </w:p>
          <w:p w14:paraId="30CBF0C0" w14:textId="77777777" w:rsidR="00000000" w:rsidRPr="0050015A" w:rsidRDefault="00FF0D67" w:rsidP="00500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50015A">
              <w:rPr>
                <w:rFonts w:ascii="Arial" w:hAnsi="Arial" w:cs="Arial"/>
                <w:bCs/>
              </w:rPr>
              <w:t xml:space="preserve">Con fecha 4 de enero de 2023, fue designado por el Presidente del Consejo General de este Órgano Garante, el </w:t>
            </w:r>
            <w:r w:rsidRPr="0050015A">
              <w:rPr>
                <w:rFonts w:ascii="Arial" w:hAnsi="Arial" w:cs="Arial"/>
                <w:b/>
                <w:bCs/>
              </w:rPr>
              <w:t>C. Rey Luis T</w:t>
            </w:r>
            <w:r w:rsidRPr="0050015A">
              <w:rPr>
                <w:rFonts w:ascii="Arial" w:hAnsi="Arial" w:cs="Arial"/>
                <w:b/>
                <w:bCs/>
              </w:rPr>
              <w:t>oledo Guzmán</w:t>
            </w:r>
            <w:r w:rsidRPr="0050015A">
              <w:rPr>
                <w:rFonts w:ascii="Arial" w:hAnsi="Arial" w:cs="Arial"/>
                <w:bCs/>
              </w:rPr>
              <w:t xml:space="preserve"> como titular de la Dirección de Gobierno Abierto del OGAIPO.</w:t>
            </w:r>
          </w:p>
          <w:p w14:paraId="1ADFC2DB" w14:textId="30B874BD" w:rsidR="00000000" w:rsidRDefault="00FF0D67" w:rsidP="0050015A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Cs/>
              </w:rPr>
            </w:pPr>
            <w:r w:rsidRPr="0050015A">
              <w:rPr>
                <w:rFonts w:ascii="Arial" w:hAnsi="Arial" w:cs="Arial"/>
                <w:bCs/>
              </w:rPr>
              <w:t>Con fecha 4 de enero de 2023, fue designado por</w:t>
            </w:r>
            <w:r w:rsidRPr="0050015A">
              <w:rPr>
                <w:rFonts w:ascii="Arial" w:hAnsi="Arial" w:cs="Arial"/>
                <w:bCs/>
              </w:rPr>
              <w:t xml:space="preserve"> el Presidente del Consejo General de este Órgano Garante, el</w:t>
            </w:r>
            <w:r w:rsidRPr="0050015A">
              <w:rPr>
                <w:rFonts w:ascii="Arial" w:hAnsi="Arial" w:cs="Arial"/>
                <w:b/>
                <w:bCs/>
              </w:rPr>
              <w:t xml:space="preserve"> C. José Luis Vargas Barroso</w:t>
            </w:r>
            <w:r w:rsidRPr="0050015A">
              <w:rPr>
                <w:rFonts w:ascii="Arial" w:hAnsi="Arial" w:cs="Arial"/>
                <w:bCs/>
              </w:rPr>
              <w:t xml:space="preserve"> como titular de la Dirección de T</w:t>
            </w:r>
            <w:r w:rsidRPr="0050015A">
              <w:rPr>
                <w:rFonts w:ascii="Arial" w:hAnsi="Arial" w:cs="Arial"/>
                <w:bCs/>
              </w:rPr>
              <w:t>ecnologías de Transparencia del OGAIPO.</w:t>
            </w:r>
          </w:p>
          <w:p w14:paraId="2F6339F2" w14:textId="77777777" w:rsidR="0050015A" w:rsidRPr="0050015A" w:rsidRDefault="0050015A" w:rsidP="0050015A">
            <w:pPr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230D62C3" w14:textId="7901C986" w:rsidR="007D31FA" w:rsidRPr="0050015A" w:rsidRDefault="0050015A" w:rsidP="0050015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En razón de lo anterior</w:t>
            </w:r>
            <w:r w:rsidRPr="0050015A">
              <w:rPr>
                <w:rFonts w:ascii="Arial" w:hAnsi="Arial" w:cs="Arial"/>
                <w:bCs/>
              </w:rPr>
              <w:t>, con fecha 1</w:t>
            </w:r>
            <w:r>
              <w:rPr>
                <w:rFonts w:ascii="Arial" w:hAnsi="Arial" w:cs="Arial"/>
                <w:bCs/>
              </w:rPr>
              <w:t>8 de enero de 2023, quedó formalizada</w:t>
            </w:r>
            <w:r w:rsidRPr="0050015A">
              <w:rPr>
                <w:rFonts w:ascii="Arial" w:hAnsi="Arial" w:cs="Arial"/>
                <w:bCs/>
              </w:rPr>
              <w:t xml:space="preserve"> la integración de las y los integrantes del Grupo </w:t>
            </w:r>
            <w:r w:rsidRPr="0050015A">
              <w:rPr>
                <w:rFonts w:ascii="Arial" w:hAnsi="Arial" w:cs="Arial"/>
                <w:bCs/>
              </w:rPr>
              <w:lastRenderedPageBreak/>
              <w:t>Interdisciplinario del OGAIPO, de</w:t>
            </w:r>
            <w:r>
              <w:rPr>
                <w:rFonts w:ascii="Arial" w:hAnsi="Arial" w:cs="Arial"/>
                <w:bCs/>
              </w:rPr>
              <w:t xml:space="preserve"> acuerdo a las designaciones expuestas</w:t>
            </w:r>
            <w:r w:rsidRPr="0050015A">
              <w:rPr>
                <w:rFonts w:ascii="Arial" w:hAnsi="Arial" w:cs="Arial"/>
                <w:bCs/>
              </w:rPr>
              <w:t>.</w:t>
            </w:r>
          </w:p>
        </w:tc>
      </w:tr>
      <w:tr w:rsidR="007D31FA" w:rsidRPr="00233FE6" w14:paraId="0A19560E" w14:textId="77777777" w:rsidTr="00EF75C6">
        <w:tc>
          <w:tcPr>
            <w:tcW w:w="3077" w:type="dxa"/>
          </w:tcPr>
          <w:p w14:paraId="02E7F58B" w14:textId="67299BD3" w:rsidR="007D31FA" w:rsidRPr="00705C90" w:rsidRDefault="0050015A" w:rsidP="00EF75C6">
            <w:pPr>
              <w:jc w:val="both"/>
              <w:rPr>
                <w:rFonts w:ascii="Arial" w:hAnsi="Arial" w:cs="Arial"/>
                <w:b/>
                <w:bCs/>
              </w:rPr>
            </w:pPr>
            <w:r w:rsidRPr="00196975">
              <w:rPr>
                <w:rFonts w:ascii="Arial" w:hAnsi="Arial" w:cs="Arial"/>
              </w:rPr>
              <w:lastRenderedPageBreak/>
              <w:t>Seguimiento al Índice de Equivalencias de Series Documentales IEAIP-COTAIPO-IAIP-OGAIPO</w:t>
            </w:r>
          </w:p>
        </w:tc>
        <w:tc>
          <w:tcPr>
            <w:tcW w:w="6846" w:type="dxa"/>
          </w:tcPr>
          <w:p w14:paraId="327C1318" w14:textId="17F1AF95" w:rsidR="007D31FA" w:rsidRDefault="007D31FA" w:rsidP="001011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</w:t>
            </w:r>
            <w:r w:rsidRPr="00D94CF7">
              <w:rPr>
                <w:rFonts w:ascii="Arial" w:hAnsi="Arial" w:cs="Arial"/>
                <w:bCs/>
              </w:rPr>
              <w:t>Titular del Área</w:t>
            </w:r>
            <w:r>
              <w:rPr>
                <w:rFonts w:ascii="Arial" w:hAnsi="Arial" w:cs="Arial"/>
                <w:bCs/>
              </w:rPr>
              <w:t xml:space="preserve"> Coordinadora de Archivos, C. Carlos Bautista Rojas, Indicó que </w:t>
            </w:r>
            <w:r w:rsidR="0050015A">
              <w:rPr>
                <w:rFonts w:ascii="Arial" w:hAnsi="Arial" w:cs="Arial"/>
                <w:bCs/>
              </w:rPr>
              <w:t>c</w:t>
            </w:r>
            <w:r w:rsidR="0050015A" w:rsidRPr="0050015A">
              <w:rPr>
                <w:rFonts w:ascii="Arial" w:hAnsi="Arial" w:cs="Arial"/>
                <w:bCs/>
              </w:rPr>
              <w:t xml:space="preserve">on fecha </w:t>
            </w:r>
            <w:r w:rsidR="0050015A" w:rsidRPr="0050015A">
              <w:rPr>
                <w:rFonts w:ascii="Arial" w:hAnsi="Arial" w:cs="Arial"/>
                <w:b/>
                <w:bCs/>
              </w:rPr>
              <w:t>14 de diciembre de 2022</w:t>
            </w:r>
            <w:r w:rsidR="0050015A" w:rsidRPr="0050015A">
              <w:rPr>
                <w:rFonts w:ascii="Arial" w:hAnsi="Arial" w:cs="Arial"/>
                <w:bCs/>
              </w:rPr>
              <w:t>, mediante la Quinta Reunión de Trabajo Ordinaria del Grupo Interdisciplinario, fue presentado el Diagnóstico Archivístico aplicado al Órgano Garante de Acceso a la Información Pública, Transparencia, Protección de Datos Personales y Buen Gobierno del Estado de Oaxaca, del cual se desprende el procedimiento para dar continuidad al ciclo vital de los expedientes producidos por los fondos documentales IEAIP-COTAIPO-IAIP y albergados en el Archivo de Concentración y en los archivos de trámite de las unidades administrativas productoras de la documentación.</w:t>
            </w:r>
          </w:p>
          <w:p w14:paraId="2DE9A5D8" w14:textId="77777777" w:rsidR="00694C60" w:rsidRDefault="00694C60" w:rsidP="001011E5">
            <w:pPr>
              <w:jc w:val="both"/>
              <w:rPr>
                <w:rFonts w:ascii="Arial" w:hAnsi="Arial" w:cs="Arial"/>
                <w:bCs/>
              </w:rPr>
            </w:pPr>
          </w:p>
          <w:p w14:paraId="7ED3C12D" w14:textId="77777777" w:rsidR="00694C60" w:rsidRDefault="00694C60" w:rsidP="00694C60">
            <w:pPr>
              <w:jc w:val="both"/>
              <w:rPr>
                <w:rFonts w:ascii="Arial" w:hAnsi="Arial" w:cs="Arial"/>
                <w:bCs/>
              </w:rPr>
            </w:pPr>
            <w:r w:rsidRPr="006D5F2D">
              <w:rPr>
                <w:rFonts w:ascii="Arial" w:hAnsi="Arial" w:cs="Arial"/>
                <w:bCs/>
              </w:rPr>
              <w:t>Derivado de</w:t>
            </w:r>
            <w:r w:rsidRPr="006D5F2D">
              <w:rPr>
                <w:rFonts w:ascii="Arial" w:hAnsi="Arial" w:cs="Arial"/>
                <w:bCs/>
                <w:lang w:val="es-ES"/>
              </w:rPr>
              <w:t xml:space="preserve"> este análisis</w:t>
            </w:r>
            <w:r w:rsidRPr="006D5F2D">
              <w:rPr>
                <w:rFonts w:ascii="Arial" w:hAnsi="Arial" w:cs="Arial"/>
                <w:bCs/>
              </w:rPr>
              <w:t>, el Área Coordinadora de Archivos elaboró el Índice de Equivalencias de Series Documentales IEAIP-COTAIPO-IAIP-OGAIPO, en el cual se describen las equivalencias a que corresponden las series documentales de un instrumento a otro, es decir, a través de cada fondo documental, tomando en consideración que las funciones a través de los mismos, en la mayoría de los casos siguen siendo las mismas.</w:t>
            </w:r>
          </w:p>
          <w:p w14:paraId="1CA6E0F3" w14:textId="77777777" w:rsidR="00694C60" w:rsidRDefault="00694C60" w:rsidP="00694C60">
            <w:pPr>
              <w:jc w:val="both"/>
              <w:rPr>
                <w:rFonts w:ascii="Arial" w:hAnsi="Arial" w:cs="Arial"/>
                <w:bCs/>
              </w:rPr>
            </w:pPr>
          </w:p>
          <w:p w14:paraId="77EE3FFA" w14:textId="6D3CF8C0" w:rsidR="00694C60" w:rsidRPr="001011E5" w:rsidRDefault="00694C60" w:rsidP="001011E5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Así mismo, señaló que dicho índice será enviado a las y los integrantes del Grupo Interdisciplinario, el día 19 de enero de 2023, con la finalidad de poder analizar dicho documento y realizar las observaciones pertinentes, </w:t>
            </w:r>
            <w:r w:rsidRPr="00141942">
              <w:rPr>
                <w:rFonts w:ascii="Arial" w:hAnsi="Arial" w:cs="Arial"/>
                <w:bCs/>
                <w:lang w:val="es-ES"/>
              </w:rPr>
              <w:t>para ello, se les harán llegar los instrumentos de control y consulta archivísticos de fondos documentales anteriores al OGAIPO.</w:t>
            </w:r>
          </w:p>
        </w:tc>
      </w:tr>
      <w:tr w:rsidR="007D31FA" w:rsidRPr="00233FE6" w14:paraId="3C9E17FC" w14:textId="77777777" w:rsidTr="00EF75C6">
        <w:tc>
          <w:tcPr>
            <w:tcW w:w="3077" w:type="dxa"/>
          </w:tcPr>
          <w:p w14:paraId="46D86055" w14:textId="77777777" w:rsidR="007D31FA" w:rsidRPr="00057DBA" w:rsidRDefault="007D31FA" w:rsidP="00EF75C6">
            <w:pPr>
              <w:jc w:val="both"/>
              <w:rPr>
                <w:rFonts w:ascii="Arial" w:hAnsi="Arial" w:cs="Arial"/>
              </w:rPr>
            </w:pPr>
            <w:r w:rsidRPr="00057DBA">
              <w:rPr>
                <w:rFonts w:ascii="Arial" w:hAnsi="Arial" w:cs="Arial"/>
              </w:rPr>
              <w:t>Asuntos generales</w:t>
            </w:r>
          </w:p>
        </w:tc>
        <w:tc>
          <w:tcPr>
            <w:tcW w:w="6846" w:type="dxa"/>
          </w:tcPr>
          <w:p w14:paraId="75F46A47" w14:textId="66C549B2" w:rsidR="00CC1A10" w:rsidRDefault="007D31FA" w:rsidP="00EF75C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En este punto, el Titular del Área Coordinadora de Archivos, preguntó a la y a los integrantes del Grupo Interdisciplinario si era su deseo poner a consideración algún asunto más a la presente reunión. </w:t>
            </w:r>
            <w:r w:rsidR="001011E5">
              <w:rPr>
                <w:rFonts w:ascii="Arial" w:hAnsi="Arial" w:cs="Arial"/>
                <w:bCs/>
              </w:rPr>
              <w:t>Una vez realizada esta pregunta, y no habiendo asuntos a proponer por las y los integrantes, el</w:t>
            </w:r>
            <w:r w:rsidR="00694C60">
              <w:rPr>
                <w:rFonts w:ascii="Arial" w:hAnsi="Arial" w:cs="Arial"/>
                <w:bCs/>
              </w:rPr>
              <w:t xml:space="preserve"> t</w:t>
            </w:r>
            <w:r w:rsidR="001011E5">
              <w:rPr>
                <w:rFonts w:ascii="Arial" w:hAnsi="Arial" w:cs="Arial"/>
                <w:bCs/>
              </w:rPr>
              <w:t>itular del Área Coordinadora de Archivos</w:t>
            </w:r>
            <w:r w:rsidR="001011E5">
              <w:rPr>
                <w:rFonts w:ascii="Arial" w:hAnsi="Arial" w:cs="Arial"/>
                <w:bCs/>
              </w:rPr>
              <w:t xml:space="preserve">, solicitó que se sometiera a aprobación en este punto del orden del día, el Calendario de Reuniones Ordinarias 2023 del Grupo Interdisciplinario del </w:t>
            </w:r>
            <w:r w:rsidR="001011E5">
              <w:rPr>
                <w:rFonts w:ascii="Arial" w:hAnsi="Arial" w:cs="Arial"/>
                <w:bCs/>
              </w:rPr>
              <w:lastRenderedPageBreak/>
              <w:t xml:space="preserve">OGAIPO, comentando que este documento, está alineado al </w:t>
            </w:r>
            <w:r w:rsidR="001011E5" w:rsidRPr="001011E5">
              <w:rPr>
                <w:rFonts w:ascii="Arial" w:hAnsi="Arial" w:cs="Arial"/>
                <w:bCs/>
              </w:rPr>
              <w:t xml:space="preserve">Calendario Oficial de Labores 2023 del Órgano Garante, y en cumplimiento </w:t>
            </w:r>
            <w:r w:rsidR="001011E5">
              <w:rPr>
                <w:rFonts w:ascii="Arial" w:hAnsi="Arial" w:cs="Arial"/>
                <w:bCs/>
              </w:rPr>
              <w:t xml:space="preserve">al </w:t>
            </w:r>
            <w:r w:rsidR="001011E5" w:rsidRPr="001011E5">
              <w:rPr>
                <w:rFonts w:ascii="Arial" w:hAnsi="Arial" w:cs="Arial"/>
              </w:rPr>
              <w:t>Artículo 15 de las Reglas de Operación del Grupo Interdisciplinario del OGAIPO.</w:t>
            </w:r>
          </w:p>
        </w:tc>
      </w:tr>
      <w:tr w:rsidR="007D31FA" w:rsidRPr="00233FE6" w14:paraId="4F4E6685" w14:textId="77777777" w:rsidTr="00694C60">
        <w:trPr>
          <w:trHeight w:val="5591"/>
        </w:trPr>
        <w:tc>
          <w:tcPr>
            <w:tcW w:w="3077" w:type="dxa"/>
          </w:tcPr>
          <w:p w14:paraId="180AF17F" w14:textId="77777777" w:rsidR="007D31FA" w:rsidRPr="00057DBA" w:rsidRDefault="007D31FA" w:rsidP="00EF75C6">
            <w:pPr>
              <w:jc w:val="both"/>
              <w:rPr>
                <w:rFonts w:ascii="Arial" w:hAnsi="Arial" w:cs="Arial"/>
              </w:rPr>
            </w:pPr>
            <w:r w:rsidRPr="00F16CCB">
              <w:rPr>
                <w:rFonts w:ascii="Arial" w:hAnsi="Arial" w:cs="Arial"/>
              </w:rPr>
              <w:lastRenderedPageBreak/>
              <w:t>Lectura de los acuerdos del Grupo Interdisciplinario</w:t>
            </w:r>
          </w:p>
        </w:tc>
        <w:tc>
          <w:tcPr>
            <w:tcW w:w="6846" w:type="dxa"/>
          </w:tcPr>
          <w:p w14:paraId="6800A83E" w14:textId="521D1135" w:rsidR="001011E5" w:rsidRPr="001011E5" w:rsidRDefault="00FF0D67" w:rsidP="001011E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11E5">
              <w:rPr>
                <w:rFonts w:ascii="Arial" w:hAnsi="Arial" w:cs="Arial"/>
                <w:bCs/>
                <w:sz w:val="24"/>
                <w:szCs w:val="24"/>
              </w:rPr>
              <w:t>Se toma por formalizada la integración al Grupo Interdisciplinario del OGAIPO, de las y lo</w:t>
            </w:r>
            <w:r w:rsidRPr="001011E5">
              <w:rPr>
                <w:rFonts w:ascii="Arial" w:hAnsi="Arial" w:cs="Arial"/>
                <w:bCs/>
                <w:sz w:val="24"/>
                <w:szCs w:val="24"/>
              </w:rPr>
              <w:t xml:space="preserve">s C.C. Sara Mariana Jara Carrasco, titular de la Dirección de Comunicación, Capacitación, Evaluación, Archivo y Datos Personales; Consuelo Elizabeth Díaz Cruz, titular de la Dirección de Administración; Nancy Viridiana López Mejía, titular de la Dirección </w:t>
            </w:r>
            <w:r w:rsidRPr="001011E5">
              <w:rPr>
                <w:rFonts w:ascii="Arial" w:hAnsi="Arial" w:cs="Arial"/>
                <w:bCs/>
                <w:sz w:val="24"/>
                <w:szCs w:val="24"/>
              </w:rPr>
              <w:t xml:space="preserve">de Asuntos Jurídicos; Rey Luis Toledo Guzmán, titular de la Dirección de Gobierno Abierto; y José Luis Vargas Barroso, titular de la Dirección de Tecnologías de Transparencia. </w:t>
            </w:r>
          </w:p>
          <w:p w14:paraId="2E4ADFC5" w14:textId="66D73061" w:rsidR="001011E5" w:rsidRPr="001011E5" w:rsidRDefault="00FF0D67" w:rsidP="001011E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011E5">
              <w:rPr>
                <w:rFonts w:ascii="Arial" w:hAnsi="Arial" w:cs="Arial"/>
                <w:bCs/>
                <w:sz w:val="24"/>
                <w:szCs w:val="24"/>
              </w:rPr>
              <w:t>Las y los</w:t>
            </w:r>
            <w:r w:rsidRPr="001011E5">
              <w:rPr>
                <w:rFonts w:ascii="Arial" w:hAnsi="Arial" w:cs="Arial"/>
                <w:bCs/>
                <w:sz w:val="24"/>
                <w:szCs w:val="24"/>
              </w:rPr>
              <w:t xml:space="preserve"> Integrantes del Grupo Interdisciplinario se dan por conocidos, de la propuesta de índice de equivalencias de series documentales IEAIP-COTAIPO-IAIP-OGAIPO y determinan establecer un plazo para enviar observaciones al documento, el día viernes 27 de enero </w:t>
            </w:r>
            <w:r w:rsidRPr="001011E5">
              <w:rPr>
                <w:rFonts w:ascii="Arial" w:hAnsi="Arial" w:cs="Arial"/>
                <w:bCs/>
                <w:sz w:val="24"/>
                <w:szCs w:val="24"/>
              </w:rPr>
              <w:t xml:space="preserve">de 2023. </w:t>
            </w:r>
          </w:p>
          <w:p w14:paraId="0EDED5CF" w14:textId="29542202" w:rsidR="007D31FA" w:rsidRPr="001011E5" w:rsidRDefault="001011E5" w:rsidP="001011E5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aprueba por unanimidad de votos el Calendario de Reuniones Ordinarias </w:t>
            </w:r>
            <w:r w:rsidR="00BB45AE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23 del Grupo Interdisciplinario del OGAIPO. </w:t>
            </w:r>
            <w:bookmarkStart w:id="0" w:name="_GoBack"/>
            <w:bookmarkEnd w:id="0"/>
          </w:p>
        </w:tc>
      </w:tr>
      <w:tr w:rsidR="007D31FA" w:rsidRPr="00233FE6" w14:paraId="52481D2C" w14:textId="77777777" w:rsidTr="00EF75C6">
        <w:tc>
          <w:tcPr>
            <w:tcW w:w="3077" w:type="dxa"/>
          </w:tcPr>
          <w:p w14:paraId="0DBFDB07" w14:textId="77777777" w:rsidR="007D31FA" w:rsidRPr="00057DBA" w:rsidRDefault="007D31FA" w:rsidP="00EF75C6">
            <w:pPr>
              <w:jc w:val="both"/>
              <w:rPr>
                <w:rFonts w:ascii="Arial" w:hAnsi="Arial" w:cs="Arial"/>
              </w:rPr>
            </w:pPr>
            <w:r w:rsidRPr="00057DBA">
              <w:rPr>
                <w:rFonts w:ascii="Arial" w:hAnsi="Arial" w:cs="Arial"/>
              </w:rPr>
              <w:t>Clausura de la reunión</w:t>
            </w:r>
          </w:p>
        </w:tc>
        <w:tc>
          <w:tcPr>
            <w:tcW w:w="6846" w:type="dxa"/>
          </w:tcPr>
          <w:p w14:paraId="144265CD" w14:textId="4231E768" w:rsidR="007D31FA" w:rsidRDefault="007D31FA" w:rsidP="00694C60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habiendo más asuntos que tratar, y como último punto</w:t>
            </w:r>
            <w:r w:rsidRPr="00057DBA">
              <w:rPr>
                <w:rFonts w:ascii="Arial" w:hAnsi="Arial" w:cs="Arial"/>
                <w:bCs/>
              </w:rPr>
              <w:t>, el Titular del Área Coordinadora de Archivos procedió a clausurar la reunión</w:t>
            </w:r>
            <w:r>
              <w:rPr>
                <w:rFonts w:ascii="Arial" w:hAnsi="Arial" w:cs="Arial"/>
                <w:bCs/>
              </w:rPr>
              <w:t xml:space="preserve">, para lo cual realizó la siguiente declaratoria: </w:t>
            </w:r>
            <w:r w:rsidRPr="00057DBA">
              <w:rPr>
                <w:rFonts w:ascii="Arial" w:hAnsi="Arial" w:cs="Arial"/>
                <w:bCs/>
              </w:rPr>
              <w:t>“</w:t>
            </w:r>
            <w:r w:rsidRPr="00FB36C5">
              <w:rPr>
                <w:rFonts w:ascii="Arial" w:hAnsi="Arial" w:cs="Arial"/>
                <w:bCs/>
                <w:i/>
              </w:rPr>
              <w:t xml:space="preserve">Una vez que hemos agotado todos los temas previstos para esta reunión, siendo las </w:t>
            </w:r>
            <w:r w:rsidR="00694C60">
              <w:rPr>
                <w:rFonts w:ascii="Arial" w:hAnsi="Arial" w:cs="Arial"/>
                <w:bCs/>
                <w:i/>
              </w:rPr>
              <w:t>diez</w:t>
            </w:r>
            <w:r w:rsidRPr="00FB36C5">
              <w:rPr>
                <w:rFonts w:ascii="Arial" w:hAnsi="Arial" w:cs="Arial"/>
                <w:bCs/>
                <w:i/>
              </w:rPr>
              <w:t xml:space="preserve"> horas con </w:t>
            </w:r>
            <w:r w:rsidR="00694C60">
              <w:rPr>
                <w:rFonts w:ascii="Arial" w:hAnsi="Arial" w:cs="Arial"/>
                <w:bCs/>
                <w:i/>
              </w:rPr>
              <w:t>veintiocho minutos del día dieciocho</w:t>
            </w:r>
            <w:r w:rsidRPr="00FB36C5">
              <w:rPr>
                <w:rFonts w:ascii="Arial" w:hAnsi="Arial" w:cs="Arial"/>
                <w:bCs/>
                <w:i/>
              </w:rPr>
              <w:t xml:space="preserve"> de </w:t>
            </w:r>
            <w:r>
              <w:rPr>
                <w:rFonts w:ascii="Arial" w:hAnsi="Arial" w:cs="Arial"/>
                <w:bCs/>
                <w:i/>
              </w:rPr>
              <w:t>e</w:t>
            </w:r>
            <w:r w:rsidR="00694C60">
              <w:rPr>
                <w:rFonts w:ascii="Arial" w:hAnsi="Arial" w:cs="Arial"/>
                <w:bCs/>
                <w:i/>
              </w:rPr>
              <w:t>nero de 2023</w:t>
            </w:r>
            <w:r w:rsidRPr="00FB36C5">
              <w:rPr>
                <w:rFonts w:ascii="Arial" w:hAnsi="Arial" w:cs="Arial"/>
                <w:bCs/>
                <w:i/>
              </w:rPr>
              <w:t xml:space="preserve">, </w:t>
            </w:r>
            <w:r>
              <w:rPr>
                <w:rFonts w:ascii="Arial" w:hAnsi="Arial" w:cs="Arial"/>
                <w:bCs/>
                <w:i/>
              </w:rPr>
              <w:t xml:space="preserve">damos por concluida la </w:t>
            </w:r>
            <w:r w:rsidR="00694C60">
              <w:rPr>
                <w:rFonts w:ascii="Arial" w:hAnsi="Arial" w:cs="Arial"/>
                <w:bCs/>
                <w:i/>
              </w:rPr>
              <w:t>Primera</w:t>
            </w:r>
            <w:r>
              <w:rPr>
                <w:rFonts w:ascii="Arial" w:hAnsi="Arial" w:cs="Arial"/>
                <w:bCs/>
                <w:i/>
              </w:rPr>
              <w:t xml:space="preserve"> R</w:t>
            </w:r>
            <w:r w:rsidR="00694C60">
              <w:rPr>
                <w:rFonts w:ascii="Arial" w:hAnsi="Arial" w:cs="Arial"/>
                <w:bCs/>
                <w:i/>
              </w:rPr>
              <w:t>eunión Ordinaria de Trabajo 2023</w:t>
            </w:r>
            <w:r w:rsidRPr="00FB36C5">
              <w:rPr>
                <w:rFonts w:ascii="Arial" w:hAnsi="Arial" w:cs="Arial"/>
                <w:bCs/>
                <w:i/>
              </w:rPr>
              <w:t xml:space="preserve"> del Grupo Interdisciplinario</w:t>
            </w:r>
            <w:r w:rsidR="00694C60">
              <w:rPr>
                <w:rFonts w:ascii="Arial" w:hAnsi="Arial" w:cs="Arial"/>
                <w:bCs/>
                <w:i/>
              </w:rPr>
              <w:t xml:space="preserve"> del OGAIPO</w:t>
            </w:r>
            <w:r w:rsidRPr="00FB36C5">
              <w:rPr>
                <w:rFonts w:ascii="Arial" w:hAnsi="Arial" w:cs="Arial"/>
                <w:bCs/>
                <w:i/>
              </w:rPr>
              <w:t>. Muchas gracias por su asistencia”.</w:t>
            </w:r>
          </w:p>
        </w:tc>
      </w:tr>
    </w:tbl>
    <w:p w14:paraId="33940790" w14:textId="77777777" w:rsidR="007D31FA" w:rsidRPr="00D72981" w:rsidRDefault="007D31FA" w:rsidP="007D31FA">
      <w:pPr>
        <w:rPr>
          <w:rFonts w:ascii="Arial" w:hAnsi="Arial" w:cs="Arial"/>
          <w:b/>
        </w:rPr>
      </w:pPr>
    </w:p>
    <w:p w14:paraId="50F2EC57" w14:textId="77777777" w:rsidR="007D31FA" w:rsidRPr="00A31065" w:rsidRDefault="007D31FA" w:rsidP="007D31FA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p w14:paraId="01986961" w14:textId="3BC7498F" w:rsidR="00150315" w:rsidRPr="00A31065" w:rsidRDefault="00150315" w:rsidP="00A31065">
      <w:pPr>
        <w:shd w:val="clear" w:color="auto" w:fill="FFFFFF"/>
        <w:spacing w:after="2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es-MX"/>
        </w:rPr>
      </w:pPr>
    </w:p>
    <w:sectPr w:rsidR="00150315" w:rsidRPr="00A31065" w:rsidSect="00306BCC">
      <w:headerReference w:type="default" r:id="rId8"/>
      <w:footerReference w:type="default" r:id="rId9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69ED" w14:textId="77777777" w:rsidR="00FF0D67" w:rsidRDefault="00FF0D67" w:rsidP="00505074">
      <w:r>
        <w:separator/>
      </w:r>
    </w:p>
  </w:endnote>
  <w:endnote w:type="continuationSeparator" w:id="0">
    <w:p w14:paraId="66EAC096" w14:textId="77777777" w:rsidR="00FF0D67" w:rsidRDefault="00FF0D67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D2423" w14:textId="655356AA" w:rsidR="00505074" w:rsidRDefault="00D654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4930A561" wp14:editId="6F0FCE2D">
          <wp:simplePos x="0" y="0"/>
          <wp:positionH relativeFrom="margin">
            <wp:align>center</wp:align>
          </wp:positionH>
          <wp:positionV relativeFrom="paragraph">
            <wp:posOffset>-511628</wp:posOffset>
          </wp:positionV>
          <wp:extent cx="7538085" cy="12566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256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17A75" w14:textId="77777777" w:rsidR="00FF0D67" w:rsidRDefault="00FF0D67" w:rsidP="00505074">
      <w:r>
        <w:separator/>
      </w:r>
    </w:p>
  </w:footnote>
  <w:footnote w:type="continuationSeparator" w:id="0">
    <w:p w14:paraId="68628D1F" w14:textId="77777777" w:rsidR="00FF0D67" w:rsidRDefault="00FF0D67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3600" behindDoc="0" locked="0" layoutInCell="1" allowOverlap="1" wp14:anchorId="3FE518C2" wp14:editId="77BA29F1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22F"/>
    <w:multiLevelType w:val="hybridMultilevel"/>
    <w:tmpl w:val="A57C0ED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C5834"/>
    <w:multiLevelType w:val="hybridMultilevel"/>
    <w:tmpl w:val="259E91AE"/>
    <w:lvl w:ilvl="0" w:tplc="2F28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C71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ADF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6E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B853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642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902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7E2B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F23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F280E"/>
    <w:multiLevelType w:val="hybridMultilevel"/>
    <w:tmpl w:val="CC046BEC"/>
    <w:lvl w:ilvl="0" w:tplc="CB8A06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2CA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B230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E3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00F5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09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E50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44A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48E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3AE0"/>
    <w:multiLevelType w:val="hybridMultilevel"/>
    <w:tmpl w:val="C08085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0C1"/>
    <w:multiLevelType w:val="hybridMultilevel"/>
    <w:tmpl w:val="299E0A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A6107"/>
    <w:multiLevelType w:val="hybridMultilevel"/>
    <w:tmpl w:val="29AE872A"/>
    <w:lvl w:ilvl="0" w:tplc="C3A8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05E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08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F63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CC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29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F8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8E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9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F5797"/>
    <w:multiLevelType w:val="hybridMultilevel"/>
    <w:tmpl w:val="026A1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258F"/>
    <w:multiLevelType w:val="hybridMultilevel"/>
    <w:tmpl w:val="4ABEC1CE"/>
    <w:lvl w:ilvl="0" w:tplc="78442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8D8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67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4E5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5F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0CE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CA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810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2E4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60ED3"/>
    <w:multiLevelType w:val="hybridMultilevel"/>
    <w:tmpl w:val="56A8FBC2"/>
    <w:lvl w:ilvl="0" w:tplc="1108D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C32AF"/>
    <w:multiLevelType w:val="hybridMultilevel"/>
    <w:tmpl w:val="2956476A"/>
    <w:lvl w:ilvl="0" w:tplc="080A000F">
      <w:start w:val="1"/>
      <w:numFmt w:val="decimal"/>
      <w:lvlText w:val="%1."/>
      <w:lvlJc w:val="left"/>
      <w:pPr>
        <w:ind w:left="1497" w:hanging="360"/>
      </w:pPr>
    </w:lvl>
    <w:lvl w:ilvl="1" w:tplc="080A0019" w:tentative="1">
      <w:start w:val="1"/>
      <w:numFmt w:val="lowerLetter"/>
      <w:lvlText w:val="%2."/>
      <w:lvlJc w:val="left"/>
      <w:pPr>
        <w:ind w:left="2217" w:hanging="360"/>
      </w:pPr>
    </w:lvl>
    <w:lvl w:ilvl="2" w:tplc="080A001B" w:tentative="1">
      <w:start w:val="1"/>
      <w:numFmt w:val="lowerRoman"/>
      <w:lvlText w:val="%3."/>
      <w:lvlJc w:val="right"/>
      <w:pPr>
        <w:ind w:left="2937" w:hanging="180"/>
      </w:pPr>
    </w:lvl>
    <w:lvl w:ilvl="3" w:tplc="080A000F" w:tentative="1">
      <w:start w:val="1"/>
      <w:numFmt w:val="decimal"/>
      <w:lvlText w:val="%4."/>
      <w:lvlJc w:val="left"/>
      <w:pPr>
        <w:ind w:left="3657" w:hanging="360"/>
      </w:pPr>
    </w:lvl>
    <w:lvl w:ilvl="4" w:tplc="080A0019" w:tentative="1">
      <w:start w:val="1"/>
      <w:numFmt w:val="lowerLetter"/>
      <w:lvlText w:val="%5."/>
      <w:lvlJc w:val="left"/>
      <w:pPr>
        <w:ind w:left="4377" w:hanging="360"/>
      </w:pPr>
    </w:lvl>
    <w:lvl w:ilvl="5" w:tplc="080A001B" w:tentative="1">
      <w:start w:val="1"/>
      <w:numFmt w:val="lowerRoman"/>
      <w:lvlText w:val="%6."/>
      <w:lvlJc w:val="right"/>
      <w:pPr>
        <w:ind w:left="5097" w:hanging="180"/>
      </w:pPr>
    </w:lvl>
    <w:lvl w:ilvl="6" w:tplc="080A000F" w:tentative="1">
      <w:start w:val="1"/>
      <w:numFmt w:val="decimal"/>
      <w:lvlText w:val="%7."/>
      <w:lvlJc w:val="left"/>
      <w:pPr>
        <w:ind w:left="5817" w:hanging="360"/>
      </w:pPr>
    </w:lvl>
    <w:lvl w:ilvl="7" w:tplc="080A0019" w:tentative="1">
      <w:start w:val="1"/>
      <w:numFmt w:val="lowerLetter"/>
      <w:lvlText w:val="%8."/>
      <w:lvlJc w:val="left"/>
      <w:pPr>
        <w:ind w:left="6537" w:hanging="360"/>
      </w:pPr>
    </w:lvl>
    <w:lvl w:ilvl="8" w:tplc="080A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0" w15:restartNumberingAfterBreak="0">
    <w:nsid w:val="7AD47A28"/>
    <w:multiLevelType w:val="hybridMultilevel"/>
    <w:tmpl w:val="492A34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75AB7"/>
    <w:rsid w:val="001011E5"/>
    <w:rsid w:val="0013738B"/>
    <w:rsid w:val="00150315"/>
    <w:rsid w:val="00191709"/>
    <w:rsid w:val="00196975"/>
    <w:rsid w:val="001C3A24"/>
    <w:rsid w:val="001C5977"/>
    <w:rsid w:val="001D30EE"/>
    <w:rsid w:val="002060F1"/>
    <w:rsid w:val="002D152B"/>
    <w:rsid w:val="00306BCC"/>
    <w:rsid w:val="00320B59"/>
    <w:rsid w:val="0037163E"/>
    <w:rsid w:val="003F7C21"/>
    <w:rsid w:val="00496B6A"/>
    <w:rsid w:val="0050015A"/>
    <w:rsid w:val="00505074"/>
    <w:rsid w:val="005C245B"/>
    <w:rsid w:val="005F6794"/>
    <w:rsid w:val="0061401C"/>
    <w:rsid w:val="006647D2"/>
    <w:rsid w:val="00694C60"/>
    <w:rsid w:val="006F5929"/>
    <w:rsid w:val="007D31FA"/>
    <w:rsid w:val="00801920"/>
    <w:rsid w:val="008F628C"/>
    <w:rsid w:val="009100C6"/>
    <w:rsid w:val="00920943"/>
    <w:rsid w:val="00930F1B"/>
    <w:rsid w:val="00A31065"/>
    <w:rsid w:val="00A56332"/>
    <w:rsid w:val="00BB3736"/>
    <w:rsid w:val="00BB45AE"/>
    <w:rsid w:val="00C07082"/>
    <w:rsid w:val="00C25E29"/>
    <w:rsid w:val="00C335F7"/>
    <w:rsid w:val="00C97BF5"/>
    <w:rsid w:val="00CB7833"/>
    <w:rsid w:val="00CC1A10"/>
    <w:rsid w:val="00D65479"/>
    <w:rsid w:val="00D96B13"/>
    <w:rsid w:val="00DC0B0F"/>
    <w:rsid w:val="00DC1402"/>
    <w:rsid w:val="00DC65C4"/>
    <w:rsid w:val="00DD3861"/>
    <w:rsid w:val="00EE48C4"/>
    <w:rsid w:val="00F023FE"/>
    <w:rsid w:val="00F36284"/>
    <w:rsid w:val="00F56F58"/>
    <w:rsid w:val="00F854FE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7D3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31FA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9697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4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9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D21A91-D16A-4B94-A354-4CF16C80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Rogelio Fuentes</cp:lastModifiedBy>
  <cp:revision>5</cp:revision>
  <cp:lastPrinted>2021-11-03T21:04:00Z</cp:lastPrinted>
  <dcterms:created xsi:type="dcterms:W3CDTF">2023-01-18T17:40:00Z</dcterms:created>
  <dcterms:modified xsi:type="dcterms:W3CDTF">2023-01-18T19:39:00Z</dcterms:modified>
</cp:coreProperties>
</file>