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184205227"/>
        <w:docPartObj>
          <w:docPartGallery w:val="Cover Pages"/>
          <w:docPartUnique/>
        </w:docPartObj>
      </w:sdtPr>
      <w:sdtEndPr>
        <w:rPr>
          <w:rFonts w:cs="Arial"/>
          <w:sz w:val="24"/>
          <w:szCs w:val="24"/>
        </w:rPr>
      </w:sdtEndPr>
      <w:sdtContent>
        <w:p w:rsidR="00FC25E2" w:rsidRDefault="00FC25E2"/>
        <w:tbl>
          <w:tblPr>
            <w:tblpPr w:leftFromText="187" w:rightFromText="187" w:horzAnchor="margin" w:tblpXSpec="center" w:tblpY="2881"/>
            <w:tblW w:w="3299" w:type="pct"/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5831"/>
          </w:tblGrid>
          <w:tr w:rsidR="00FC25E2" w:rsidTr="00FC25E2">
            <w:trPr>
              <w:trHeight w:val="315"/>
            </w:trPr>
            <w:tc>
              <w:tcPr>
                <w:tcW w:w="5822" w:type="dxa"/>
                <w:shd w:val="clear" w:color="auto" w:fill="auto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FC25E2" w:rsidRDefault="00FC25E2" w:rsidP="00FC25E2">
                <w:pPr>
                  <w:pStyle w:val="Sinespaciado"/>
                  <w:rPr>
                    <w:color w:val="2E74B5" w:themeColor="accent1" w:themeShade="BF"/>
                    <w:sz w:val="24"/>
                  </w:rPr>
                </w:pPr>
              </w:p>
            </w:tc>
          </w:tr>
          <w:tr w:rsidR="00FC25E2" w:rsidTr="00FC25E2">
            <w:trPr>
              <w:trHeight w:val="2059"/>
            </w:trPr>
            <w:tc>
              <w:tcPr>
                <w:tcW w:w="5822" w:type="dxa"/>
                <w:shd w:val="clear" w:color="auto" w:fill="auto"/>
              </w:tcPr>
              <w:sdt>
                <w:sdtPr>
                  <w:rPr>
                    <w:rFonts w:asciiTheme="majorHAnsi" w:eastAsiaTheme="majorEastAsia" w:hAnsiTheme="majorHAnsi" w:cstheme="majorBidi"/>
                    <w:b/>
                    <w:color w:val="006666"/>
                    <w:sz w:val="44"/>
                    <w:szCs w:val="88"/>
                  </w:rPr>
                  <w:alias w:val="Título"/>
                  <w:id w:val="13406919"/>
                  <w:placeholder>
                    <w:docPart w:val="AF44C0238B7048B0B151280EB8B31AA5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FC25E2" w:rsidRDefault="00DA578F" w:rsidP="00A87F4C">
                    <w:pPr>
                      <w:pStyle w:val="Sinespaciado"/>
                      <w:spacing w:line="216" w:lineRule="auto"/>
                      <w:jc w:val="center"/>
                      <w:rPr>
                        <w:rFonts w:asciiTheme="majorHAnsi" w:eastAsiaTheme="majorEastAsia" w:hAnsiTheme="majorHAnsi" w:cstheme="majorBidi"/>
                        <w:color w:val="5B9BD5" w:themeColor="accent1"/>
                        <w:sz w:val="88"/>
                        <w:szCs w:val="8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color w:val="006666"/>
                        <w:sz w:val="44"/>
                        <w:szCs w:val="88"/>
                      </w:rPr>
                      <w:t xml:space="preserve"> Programa de capacitación en gestión documental y administración de archivos 2021</w:t>
                    </w:r>
                  </w:p>
                </w:sdtContent>
              </w:sdt>
            </w:tc>
          </w:tr>
          <w:tr w:rsidR="00FC25E2" w:rsidTr="00FC25E2">
            <w:trPr>
              <w:trHeight w:val="315"/>
            </w:trPr>
            <w:tc>
              <w:tcPr>
                <w:tcW w:w="5822" w:type="dxa"/>
                <w:shd w:val="clear" w:color="auto" w:fill="auto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FC25E2" w:rsidRDefault="00FC25E2" w:rsidP="00FC25E2">
                <w:pPr>
                  <w:pStyle w:val="Sinespaciado"/>
                  <w:rPr>
                    <w:color w:val="2E74B5" w:themeColor="accent1" w:themeShade="BF"/>
                    <w:sz w:val="24"/>
                  </w:rPr>
                </w:pPr>
              </w:p>
            </w:tc>
          </w:tr>
          <w:tr w:rsidR="00FC25E2" w:rsidRPr="00A87F4C" w:rsidTr="00FC25E2">
            <w:trPr>
              <w:trHeight w:val="482"/>
            </w:trPr>
            <w:tc>
              <w:tcPr>
                <w:tcW w:w="5822" w:type="dxa"/>
                <w:shd w:val="clear" w:color="auto" w:fill="auto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FC25E2" w:rsidRPr="00A87F4C" w:rsidRDefault="00FC25E2" w:rsidP="00FC25E2">
                <w:pPr>
                  <w:pStyle w:val="Sinespaciado"/>
                  <w:jc w:val="center"/>
                  <w:rPr>
                    <w:b/>
                    <w:color w:val="2E74B5" w:themeColor="accent1" w:themeShade="BF"/>
                    <w:sz w:val="32"/>
                    <w:szCs w:val="24"/>
                  </w:rPr>
                </w:pPr>
                <w:r w:rsidRPr="00A87F4C">
                  <w:rPr>
                    <w:b/>
                    <w:color w:val="006666"/>
                    <w:sz w:val="32"/>
                    <w:szCs w:val="24"/>
                  </w:rPr>
                  <w:t>Área Coordinadora de Archivos</w:t>
                </w:r>
              </w:p>
            </w:tc>
          </w:tr>
        </w:tbl>
        <w:p w:rsidR="003F3F96" w:rsidRPr="00104EA8" w:rsidRDefault="00FC25E2" w:rsidP="00AE54B1">
          <w:pPr>
            <w:rPr>
              <w:rFonts w:cs="Arial"/>
              <w:sz w:val="24"/>
              <w:szCs w:val="24"/>
            </w:rPr>
          </w:pPr>
          <w:r>
            <w:rPr>
              <w:rFonts w:cs="Arial"/>
              <w:sz w:val="24"/>
              <w:szCs w:val="24"/>
            </w:rPr>
            <w:br w:type="page"/>
          </w:r>
        </w:p>
      </w:sdtContent>
    </w:sdt>
    <w:p w:rsidR="003F3F96" w:rsidRPr="00DE146F" w:rsidRDefault="00773C8F" w:rsidP="00773C8F">
      <w:pPr>
        <w:rPr>
          <w:rFonts w:cs="Arial"/>
          <w:b/>
          <w:color w:val="006666"/>
          <w:sz w:val="24"/>
        </w:rPr>
      </w:pPr>
      <w:r w:rsidRPr="00DE146F">
        <w:rPr>
          <w:rFonts w:cs="Arial"/>
          <w:b/>
          <w:color w:val="006666"/>
          <w:sz w:val="24"/>
        </w:rPr>
        <w:lastRenderedPageBreak/>
        <w:t xml:space="preserve">1. </w:t>
      </w:r>
      <w:r w:rsidR="003F3F96" w:rsidRPr="00DE146F">
        <w:rPr>
          <w:rFonts w:cs="Arial"/>
          <w:b/>
          <w:color w:val="006666"/>
          <w:sz w:val="24"/>
        </w:rPr>
        <w:t>Presentación</w:t>
      </w:r>
    </w:p>
    <w:p w:rsidR="00773C8F" w:rsidRDefault="00773C8F" w:rsidP="001649ED">
      <w:pPr>
        <w:spacing w:line="276" w:lineRule="auto"/>
        <w:jc w:val="both"/>
        <w:rPr>
          <w:rFonts w:cs="Arial"/>
          <w:szCs w:val="24"/>
        </w:rPr>
      </w:pPr>
      <w:r w:rsidRPr="00125340">
        <w:rPr>
          <w:rFonts w:cs="Arial"/>
          <w:szCs w:val="24"/>
        </w:rPr>
        <w:t>El Instituto de Acceso a la Información Pública y Protección de Datos Personales</w:t>
      </w:r>
      <w:r w:rsidR="00A80921">
        <w:rPr>
          <w:rFonts w:cs="Arial"/>
          <w:szCs w:val="24"/>
        </w:rPr>
        <w:t xml:space="preserve"> (IAIP)</w:t>
      </w:r>
      <w:r w:rsidRPr="00125340">
        <w:rPr>
          <w:rFonts w:cs="Arial"/>
          <w:szCs w:val="24"/>
        </w:rPr>
        <w:t>, es un órgano autónomo garante en materia de transparencia, acceso a la información y protección de datos personales en el estado de Oaxaca</w:t>
      </w:r>
      <w:r w:rsidR="00125340" w:rsidRPr="00125340">
        <w:rPr>
          <w:rFonts w:cs="Arial"/>
          <w:szCs w:val="24"/>
        </w:rPr>
        <w:t>.</w:t>
      </w:r>
      <w:r w:rsidR="00384AF1">
        <w:rPr>
          <w:rFonts w:cs="Arial"/>
          <w:szCs w:val="24"/>
        </w:rPr>
        <w:t xml:space="preserve"> </w:t>
      </w:r>
      <w:r w:rsidRPr="00125340">
        <w:rPr>
          <w:rFonts w:cs="Arial"/>
          <w:szCs w:val="24"/>
        </w:rPr>
        <w:t>A partir del 15 de junio de 2019, fecha en que entró en vigor la Ley General de Archivos, las obligaciones del Instit</w:t>
      </w:r>
      <w:r w:rsidR="00A80921">
        <w:rPr>
          <w:rFonts w:cs="Arial"/>
          <w:szCs w:val="24"/>
        </w:rPr>
        <w:t>uto en esta materia aumentaron, razón por la cual,</w:t>
      </w:r>
      <w:r w:rsidR="00380C7D">
        <w:rPr>
          <w:rFonts w:cs="Arial"/>
          <w:szCs w:val="24"/>
        </w:rPr>
        <w:t xml:space="preserve"> </w:t>
      </w:r>
      <w:r w:rsidRPr="00125340">
        <w:rPr>
          <w:rFonts w:cs="Arial"/>
          <w:szCs w:val="24"/>
        </w:rPr>
        <w:t>el Consejo General designó a la persona titular de</w:t>
      </w:r>
      <w:r w:rsidR="00A80921">
        <w:rPr>
          <w:rFonts w:cs="Arial"/>
          <w:szCs w:val="24"/>
        </w:rPr>
        <w:t>l área coordinadora de a</w:t>
      </w:r>
      <w:r w:rsidR="00C20E5D">
        <w:rPr>
          <w:rFonts w:cs="Arial"/>
          <w:szCs w:val="24"/>
        </w:rPr>
        <w:t>rch</w:t>
      </w:r>
      <w:r w:rsidR="00A80921">
        <w:rPr>
          <w:rFonts w:cs="Arial"/>
          <w:szCs w:val="24"/>
        </w:rPr>
        <w:t xml:space="preserve">ivos y el 31 de agosto de 2020 </w:t>
      </w:r>
      <w:r w:rsidR="00C20E5D">
        <w:rPr>
          <w:rFonts w:cs="Arial"/>
          <w:szCs w:val="24"/>
        </w:rPr>
        <w:t>incorporó al Reglamento interno las func</w:t>
      </w:r>
      <w:r w:rsidR="00A80921">
        <w:rPr>
          <w:rFonts w:cs="Arial"/>
          <w:szCs w:val="24"/>
        </w:rPr>
        <w:t>iones de dicha á</w:t>
      </w:r>
      <w:r w:rsidR="00C20E5D">
        <w:rPr>
          <w:rFonts w:cs="Arial"/>
          <w:szCs w:val="24"/>
        </w:rPr>
        <w:t>rea.</w:t>
      </w:r>
    </w:p>
    <w:p w:rsidR="00541C4C" w:rsidRDefault="004852EB" w:rsidP="001649ED">
      <w:pPr>
        <w:spacing w:line="276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El marco de referencia</w:t>
      </w:r>
      <w:r w:rsidR="00C20E5D">
        <w:rPr>
          <w:rFonts w:cs="Arial"/>
          <w:szCs w:val="24"/>
        </w:rPr>
        <w:t xml:space="preserve"> del Programa Anual de De</w:t>
      </w:r>
      <w:r w:rsidR="00384AF1">
        <w:rPr>
          <w:rFonts w:cs="Arial"/>
          <w:szCs w:val="24"/>
        </w:rPr>
        <w:t>sarrollo Archivístico 2021, aprobado por el Consejo General del IAIP el 28 de enero del presente año</w:t>
      </w:r>
      <w:r w:rsidR="00A80921">
        <w:rPr>
          <w:rFonts w:cs="Arial"/>
          <w:szCs w:val="24"/>
        </w:rPr>
        <w:t xml:space="preserve">, </w:t>
      </w:r>
      <w:r w:rsidR="0023171D">
        <w:rPr>
          <w:rFonts w:cs="Arial"/>
          <w:szCs w:val="24"/>
        </w:rPr>
        <w:t>señala</w:t>
      </w:r>
      <w:r>
        <w:rPr>
          <w:rFonts w:cs="Arial"/>
          <w:szCs w:val="24"/>
        </w:rPr>
        <w:t xml:space="preserve"> que</w:t>
      </w:r>
      <w:r w:rsidR="0023171D">
        <w:rPr>
          <w:rFonts w:cs="Arial"/>
          <w:szCs w:val="24"/>
        </w:rPr>
        <w:t xml:space="preserve"> derivado de</w:t>
      </w:r>
      <w:r>
        <w:rPr>
          <w:rFonts w:cs="Arial"/>
          <w:szCs w:val="24"/>
        </w:rPr>
        <w:t xml:space="preserve"> </w:t>
      </w:r>
      <w:r w:rsidR="00541C4C">
        <w:rPr>
          <w:rFonts w:cs="Arial"/>
          <w:szCs w:val="24"/>
        </w:rPr>
        <w:t>la exploración realizada por el área coordinadora de archivos</w:t>
      </w:r>
      <w:r w:rsidR="00541C4C" w:rsidRPr="00541C4C">
        <w:rPr>
          <w:rFonts w:cs="Arial"/>
          <w:szCs w:val="24"/>
        </w:rPr>
        <w:t xml:space="preserve"> </w:t>
      </w:r>
      <w:r w:rsidR="00541C4C">
        <w:rPr>
          <w:rFonts w:cs="Arial"/>
          <w:szCs w:val="24"/>
        </w:rPr>
        <w:t>sobre el contexto del Instituto en materia de archivos</w:t>
      </w:r>
      <w:r w:rsidR="0023171D">
        <w:rPr>
          <w:rFonts w:cs="Arial"/>
          <w:szCs w:val="24"/>
        </w:rPr>
        <w:t>, se observa</w:t>
      </w:r>
      <w:r w:rsidR="00541C4C">
        <w:rPr>
          <w:rFonts w:cs="Arial"/>
          <w:szCs w:val="24"/>
        </w:rPr>
        <w:t xml:space="preserve"> a nivel estructural, en el rubro de recursos humanos:</w:t>
      </w:r>
    </w:p>
    <w:p w:rsidR="00335D86" w:rsidRPr="00B209D0" w:rsidRDefault="00541C4C" w:rsidP="001649ED">
      <w:pPr>
        <w:pStyle w:val="Prrafodelista"/>
        <w:spacing w:line="276" w:lineRule="auto"/>
        <w:jc w:val="both"/>
        <w:rPr>
          <w:i/>
        </w:rPr>
      </w:pPr>
      <w:r>
        <w:rPr>
          <w:i/>
        </w:rPr>
        <w:t xml:space="preserve"> </w:t>
      </w:r>
      <w:r w:rsidR="00A80921">
        <w:rPr>
          <w:i/>
        </w:rPr>
        <w:t xml:space="preserve">[…] </w:t>
      </w:r>
      <w:r w:rsidR="00335D86" w:rsidRPr="00B209D0">
        <w:rPr>
          <w:i/>
        </w:rPr>
        <w:t>una deficiente capacitación y nula profesionalización al personal de la oficialía de partes, al personal de los archivos de trámite y al personal del archivo de concentración. Además, se advierte que la diversidad de perfiles y grados de estudio, así como la rotación de personal, dificulta la estandarización de actividades relacionadas con la gestión documental.</w:t>
      </w:r>
    </w:p>
    <w:p w:rsidR="00C20E5D" w:rsidRDefault="007E495A" w:rsidP="001649ED">
      <w:pPr>
        <w:spacing w:line="276" w:lineRule="auto"/>
        <w:jc w:val="both"/>
      </w:pPr>
      <w:r>
        <w:t>El Programa de capacitación</w:t>
      </w:r>
      <w:r w:rsidRPr="00DF761F">
        <w:t xml:space="preserve"> en gesti</w:t>
      </w:r>
      <w:r>
        <w:t>ón documental y a</w:t>
      </w:r>
      <w:r w:rsidR="000F1E94">
        <w:t>dministración de archivos que</w:t>
      </w:r>
      <w:r>
        <w:t xml:space="preserve"> presenta </w:t>
      </w:r>
      <w:r w:rsidR="0023171D">
        <w:t xml:space="preserve">el área coordinadora de archivos </w:t>
      </w:r>
      <w:r>
        <w:t>para el ejercicio del año 2021 busca</w:t>
      </w:r>
      <w:r w:rsidR="00DF761F">
        <w:t xml:space="preserve"> atender</w:t>
      </w:r>
      <w:r w:rsidR="008B630E">
        <w:t xml:space="preserve"> </w:t>
      </w:r>
      <w:r w:rsidR="00DF761F">
        <w:t>la situación antes expuesta</w:t>
      </w:r>
      <w:r>
        <w:t xml:space="preserve"> a partir de la</w:t>
      </w:r>
      <w:r w:rsidR="008B630E">
        <w:t xml:space="preserve"> ejecución </w:t>
      </w:r>
      <w:r w:rsidR="00315977">
        <w:t xml:space="preserve">de </w:t>
      </w:r>
      <w:r w:rsidR="008B630E">
        <w:t>cuatro módulos de capacitación dirigidos a</w:t>
      </w:r>
      <w:r w:rsidR="007429EE">
        <w:t xml:space="preserve"> responsables de las</w:t>
      </w:r>
      <w:r w:rsidR="008B630E">
        <w:t xml:space="preserve"> áreas operativas del Sistema Institucional de Archivos del IAIP: </w:t>
      </w:r>
    </w:p>
    <w:p w:rsidR="008B630E" w:rsidRDefault="008B630E" w:rsidP="001649ED">
      <w:pPr>
        <w:pStyle w:val="Prrafodelista"/>
        <w:numPr>
          <w:ilvl w:val="0"/>
          <w:numId w:val="41"/>
        </w:numPr>
        <w:spacing w:line="276" w:lineRule="auto"/>
        <w:jc w:val="both"/>
      </w:pPr>
      <w:r>
        <w:t>Módulo I. Conceptos básicos y legislación en materia de archivos</w:t>
      </w:r>
      <w:r w:rsidR="005442C2">
        <w:t>.</w:t>
      </w:r>
    </w:p>
    <w:p w:rsidR="008B630E" w:rsidRDefault="008B630E" w:rsidP="001649ED">
      <w:pPr>
        <w:pStyle w:val="Prrafodelista"/>
        <w:numPr>
          <w:ilvl w:val="0"/>
          <w:numId w:val="41"/>
        </w:numPr>
        <w:spacing w:line="276" w:lineRule="auto"/>
        <w:jc w:val="both"/>
      </w:pPr>
      <w:r>
        <w:t>Módulo II. Gestión documental y administración de archivos</w:t>
      </w:r>
      <w:r w:rsidR="005442C2">
        <w:t>.</w:t>
      </w:r>
    </w:p>
    <w:p w:rsidR="008B630E" w:rsidRDefault="008B630E" w:rsidP="001649ED">
      <w:pPr>
        <w:pStyle w:val="Prrafodelista"/>
        <w:numPr>
          <w:ilvl w:val="0"/>
          <w:numId w:val="41"/>
        </w:numPr>
        <w:spacing w:line="276" w:lineRule="auto"/>
        <w:jc w:val="both"/>
      </w:pPr>
      <w:r>
        <w:t>Módulo III. Sistemas de archivos</w:t>
      </w:r>
      <w:r w:rsidR="005442C2">
        <w:t>.</w:t>
      </w:r>
    </w:p>
    <w:p w:rsidR="007B6805" w:rsidRDefault="008B630E" w:rsidP="001649ED">
      <w:pPr>
        <w:pStyle w:val="Prrafodelista"/>
        <w:numPr>
          <w:ilvl w:val="0"/>
          <w:numId w:val="41"/>
        </w:numPr>
        <w:spacing w:line="276" w:lineRule="auto"/>
        <w:jc w:val="both"/>
      </w:pPr>
      <w:r>
        <w:t>Módulo IV. Funciones y responsabilidades del Sistema Institucional de Archivos.</w:t>
      </w:r>
    </w:p>
    <w:p w:rsidR="00104EA8" w:rsidRDefault="005442C2" w:rsidP="001649ED">
      <w:pPr>
        <w:spacing w:line="276" w:lineRule="auto"/>
        <w:jc w:val="both"/>
      </w:pPr>
      <w:r>
        <w:t xml:space="preserve">Finalmente, es importante mencionar que los </w:t>
      </w:r>
      <w:r w:rsidR="00AD7A32">
        <w:t>contenidos</w:t>
      </w:r>
      <w:r>
        <w:t xml:space="preserve"> prop</w:t>
      </w:r>
      <w:r w:rsidR="00F37D9C">
        <w:t xml:space="preserve">uestos </w:t>
      </w:r>
      <w:r w:rsidR="0023171D">
        <w:t xml:space="preserve">en el presente Programa </w:t>
      </w:r>
      <w:r w:rsidR="00F37D9C">
        <w:t xml:space="preserve">son complementarios a los dos talleres capacitación </w:t>
      </w:r>
      <w:r w:rsidR="00164FBB">
        <w:t>en materia de</w:t>
      </w:r>
      <w:r w:rsidR="00F37D9C">
        <w:t xml:space="preserve"> </w:t>
      </w:r>
      <w:r w:rsidR="00F37D9C" w:rsidRPr="00F37D9C">
        <w:t xml:space="preserve">instrumentos de control y consulta archivísticos </w:t>
      </w:r>
      <w:r w:rsidR="00F37D9C">
        <w:t>que el área coordinadora de archivos brindó a responsables de archivo de trámite</w:t>
      </w:r>
      <w:r w:rsidR="0023171D">
        <w:t xml:space="preserve"> y personal de las unidades administrativas productoras de la documentación</w:t>
      </w:r>
      <w:r w:rsidR="00164FBB">
        <w:t xml:space="preserve"> del IAIP</w:t>
      </w:r>
      <w:r w:rsidR="0023171D">
        <w:t>,</w:t>
      </w:r>
      <w:r w:rsidR="00F37D9C">
        <w:t xml:space="preserve"> los días 22 de febrero y 28 de abril de 2021 en el marco de la elaboración de la guía de archivo documental 2021</w:t>
      </w:r>
      <w:r w:rsidR="00B67DEB">
        <w:t xml:space="preserve"> y </w:t>
      </w:r>
      <w:r w:rsidR="00F37D9C">
        <w:t xml:space="preserve">el inventario general por expediente. </w:t>
      </w:r>
    </w:p>
    <w:p w:rsidR="003F3F96" w:rsidRPr="00DE146F" w:rsidRDefault="003F3F96" w:rsidP="003F3F96">
      <w:pPr>
        <w:rPr>
          <w:rFonts w:cs="Arial"/>
          <w:b/>
          <w:color w:val="006666"/>
          <w:sz w:val="24"/>
        </w:rPr>
      </w:pPr>
      <w:r w:rsidRPr="00DE146F">
        <w:rPr>
          <w:rFonts w:cs="Arial"/>
          <w:b/>
          <w:color w:val="006666"/>
          <w:sz w:val="24"/>
        </w:rPr>
        <w:t>2. Justificación</w:t>
      </w:r>
    </w:p>
    <w:p w:rsidR="002821A3" w:rsidRDefault="00BA2043" w:rsidP="00B31B8F">
      <w:pPr>
        <w:spacing w:line="276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El Programa de capacitación en gestión documental y administración de archivos 2021 se presenta en cumplimiento con el </w:t>
      </w:r>
      <w:r w:rsidR="00773C8F" w:rsidRPr="002821A3">
        <w:rPr>
          <w:rFonts w:cs="Arial"/>
          <w:szCs w:val="24"/>
        </w:rPr>
        <w:t>artículo 28</w:t>
      </w:r>
      <w:r w:rsidR="002821A3">
        <w:rPr>
          <w:rFonts w:cs="Arial"/>
          <w:szCs w:val="24"/>
        </w:rPr>
        <w:t>, f</w:t>
      </w:r>
      <w:r w:rsidR="002821A3" w:rsidRPr="002821A3">
        <w:rPr>
          <w:rFonts w:cs="Arial"/>
          <w:szCs w:val="24"/>
        </w:rPr>
        <w:t xml:space="preserve">racción VII </w:t>
      </w:r>
      <w:r w:rsidRPr="002821A3">
        <w:rPr>
          <w:rFonts w:cs="Arial"/>
          <w:szCs w:val="24"/>
        </w:rPr>
        <w:t>de la Ley General de Archivos</w:t>
      </w:r>
      <w:r w:rsidR="00773C8F">
        <w:rPr>
          <w:rFonts w:cs="Arial"/>
          <w:szCs w:val="24"/>
        </w:rPr>
        <w:t xml:space="preserve"> </w:t>
      </w:r>
      <w:r w:rsidR="002821A3">
        <w:rPr>
          <w:rFonts w:cs="Arial"/>
          <w:szCs w:val="24"/>
        </w:rPr>
        <w:t xml:space="preserve">y artículo 11, fracción II, inciso f del Reglamento Interno del Instituto de Acceso a la Información Pública y Protección de </w:t>
      </w:r>
      <w:r w:rsidR="002821A3">
        <w:rPr>
          <w:rFonts w:cs="Arial"/>
          <w:szCs w:val="24"/>
        </w:rPr>
        <w:lastRenderedPageBreak/>
        <w:t>Datos P</w:t>
      </w:r>
      <w:r w:rsidR="00315977">
        <w:rPr>
          <w:rFonts w:cs="Arial"/>
          <w:szCs w:val="24"/>
        </w:rPr>
        <w:t xml:space="preserve">ersonales del Estado de Oaxaca </w:t>
      </w:r>
      <w:r w:rsidR="008B65A0">
        <w:rPr>
          <w:rFonts w:cs="Arial"/>
          <w:szCs w:val="24"/>
        </w:rPr>
        <w:t>los cuales establecen</w:t>
      </w:r>
      <w:r w:rsidR="00315977">
        <w:rPr>
          <w:rFonts w:cs="Arial"/>
          <w:szCs w:val="24"/>
        </w:rPr>
        <w:t xml:space="preserve"> que el área coordinadora de archivos tiene como </w:t>
      </w:r>
      <w:r w:rsidR="00B3664E">
        <w:rPr>
          <w:rFonts w:cs="Arial"/>
          <w:szCs w:val="24"/>
        </w:rPr>
        <w:t>una de sus funciones</w:t>
      </w:r>
      <w:r w:rsidR="00315977">
        <w:rPr>
          <w:rFonts w:cs="Arial"/>
          <w:szCs w:val="24"/>
        </w:rPr>
        <w:t xml:space="preserve"> </w:t>
      </w:r>
      <w:r w:rsidR="00380C7D">
        <w:rPr>
          <w:rFonts w:cs="Arial"/>
          <w:szCs w:val="24"/>
        </w:rPr>
        <w:t>e</w:t>
      </w:r>
      <w:r w:rsidR="00380C7D" w:rsidRPr="00380C7D">
        <w:rPr>
          <w:rFonts w:cs="Arial"/>
          <w:szCs w:val="24"/>
        </w:rPr>
        <w:t>laborar programas de capacitación en gestión document</w:t>
      </w:r>
      <w:r w:rsidR="00AB2A58">
        <w:rPr>
          <w:rFonts w:cs="Arial"/>
          <w:szCs w:val="24"/>
        </w:rPr>
        <w:t>al y administración de archivos.</w:t>
      </w:r>
    </w:p>
    <w:p w:rsidR="004C15B9" w:rsidRDefault="00C34B60" w:rsidP="00B31B8F">
      <w:pPr>
        <w:spacing w:line="276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Se</w:t>
      </w:r>
      <w:r w:rsidR="00BA2043" w:rsidRPr="001C6329">
        <w:rPr>
          <w:rFonts w:cs="Arial"/>
          <w:szCs w:val="24"/>
        </w:rPr>
        <w:t xml:space="preserve"> encuentra</w:t>
      </w:r>
      <w:r w:rsidR="00BA2043">
        <w:rPr>
          <w:rFonts w:cs="Arial"/>
          <w:szCs w:val="24"/>
        </w:rPr>
        <w:t xml:space="preserve"> alineado al </w:t>
      </w:r>
      <w:r w:rsidR="00BA2043" w:rsidRPr="004E558A">
        <w:rPr>
          <w:rFonts w:cs="Arial"/>
          <w:i/>
          <w:szCs w:val="24"/>
        </w:rPr>
        <w:t>Programa Nacional de Transparencia</w:t>
      </w:r>
      <w:r w:rsidR="00BA2043">
        <w:rPr>
          <w:rFonts w:cs="Arial"/>
          <w:i/>
          <w:szCs w:val="24"/>
        </w:rPr>
        <w:t xml:space="preserve"> 2017-2021</w:t>
      </w:r>
      <w:r w:rsidR="00BA2043">
        <w:rPr>
          <w:rFonts w:cs="Arial"/>
          <w:szCs w:val="24"/>
        </w:rPr>
        <w:t>, específicamente en el eje te</w:t>
      </w:r>
      <w:r w:rsidR="00B31B8F">
        <w:rPr>
          <w:rFonts w:cs="Arial"/>
          <w:szCs w:val="24"/>
        </w:rPr>
        <w:t>mático uno</w:t>
      </w:r>
      <w:r w:rsidR="00BA2043">
        <w:rPr>
          <w:rFonts w:cs="Arial"/>
          <w:szCs w:val="24"/>
        </w:rPr>
        <w:t xml:space="preserve"> denominado “Archivo y gestión documental”, en el siguiente objetivo estratégico:</w:t>
      </w:r>
      <w:r w:rsidR="001C6329" w:rsidRPr="001C6329">
        <w:rPr>
          <w:rFonts w:cs="Arial"/>
          <w:szCs w:val="24"/>
        </w:rPr>
        <w:t xml:space="preserve"> </w:t>
      </w:r>
    </w:p>
    <w:p w:rsidR="007F5A24" w:rsidRPr="004C15B9" w:rsidRDefault="00BA2043" w:rsidP="00B31B8F">
      <w:pPr>
        <w:pStyle w:val="Prrafodelista"/>
        <w:numPr>
          <w:ilvl w:val="0"/>
          <w:numId w:val="49"/>
        </w:numPr>
        <w:spacing w:line="276" w:lineRule="auto"/>
        <w:jc w:val="both"/>
        <w:rPr>
          <w:rFonts w:cs="Arial"/>
          <w:szCs w:val="24"/>
        </w:rPr>
      </w:pPr>
      <w:r w:rsidRPr="004C15B9">
        <w:rPr>
          <w:rFonts w:cs="Arial"/>
          <w:szCs w:val="24"/>
        </w:rPr>
        <w:t>1.3 Fortalecer la profesionalización de los responsables de las áreas de archivo para mejorar los procesos y el cumplimiento normativo en la materia.</w:t>
      </w:r>
    </w:p>
    <w:p w:rsidR="00023F3D" w:rsidRDefault="00C34B60" w:rsidP="00B31B8F">
      <w:pPr>
        <w:spacing w:line="276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Finalmente, el Programa de capacitación </w:t>
      </w:r>
      <w:r w:rsidR="00023F3D">
        <w:rPr>
          <w:rFonts w:cs="Arial"/>
          <w:szCs w:val="24"/>
        </w:rPr>
        <w:t xml:space="preserve">se alinea al Programa Anual de Desarrollo Archivístico 2021 </w:t>
      </w:r>
      <w:r w:rsidR="007B6805">
        <w:rPr>
          <w:rFonts w:cs="Arial"/>
          <w:szCs w:val="24"/>
        </w:rPr>
        <w:t xml:space="preserve">del IAIP </w:t>
      </w:r>
      <w:r w:rsidR="00023F3D">
        <w:rPr>
          <w:rFonts w:cs="Arial"/>
          <w:szCs w:val="24"/>
        </w:rPr>
        <w:t>en el siguiente objetivo específico:</w:t>
      </w:r>
    </w:p>
    <w:p w:rsidR="00023F3D" w:rsidRDefault="001763AE" w:rsidP="00B31B8F">
      <w:pPr>
        <w:pStyle w:val="Prrafodelista"/>
        <w:numPr>
          <w:ilvl w:val="0"/>
          <w:numId w:val="48"/>
        </w:numPr>
        <w:spacing w:line="276" w:lineRule="auto"/>
        <w:jc w:val="both"/>
        <w:rPr>
          <w:rFonts w:cs="Arial"/>
          <w:szCs w:val="24"/>
        </w:rPr>
      </w:pPr>
      <w:r w:rsidRPr="00C34B60">
        <w:rPr>
          <w:rFonts w:cs="Arial"/>
          <w:szCs w:val="24"/>
        </w:rPr>
        <w:t xml:space="preserve">Dotar al personal de las áreas operativas del sistema institucional de archivos de conocimientos conceptuales y técnicos en materia de gestión documental y administración de archivos. </w:t>
      </w:r>
    </w:p>
    <w:p w:rsidR="00023F3D" w:rsidRDefault="00023F3D" w:rsidP="00B31B8F">
      <w:pPr>
        <w:spacing w:line="276" w:lineRule="auto"/>
        <w:ind w:left="360"/>
        <w:jc w:val="both"/>
        <w:rPr>
          <w:rFonts w:cstheme="minorHAnsi"/>
        </w:rPr>
      </w:pPr>
      <w:r>
        <w:rPr>
          <w:rFonts w:cstheme="minorHAnsi"/>
        </w:rPr>
        <w:t xml:space="preserve">Y </w:t>
      </w:r>
      <w:r w:rsidRPr="00023F3D">
        <w:rPr>
          <w:rFonts w:cstheme="minorHAnsi"/>
        </w:rPr>
        <w:t xml:space="preserve">responde a la actividad 2.1 </w:t>
      </w:r>
      <w:r w:rsidR="007B6805">
        <w:rPr>
          <w:rFonts w:cstheme="minorHAnsi"/>
        </w:rPr>
        <w:t>del mismo Programa:</w:t>
      </w:r>
    </w:p>
    <w:p w:rsidR="00BA2043" w:rsidRPr="007B6805" w:rsidRDefault="00023F3D" w:rsidP="00B31B8F">
      <w:pPr>
        <w:pStyle w:val="Prrafodelista"/>
        <w:numPr>
          <w:ilvl w:val="0"/>
          <w:numId w:val="48"/>
        </w:numPr>
        <w:spacing w:line="276" w:lineRule="auto"/>
        <w:jc w:val="both"/>
        <w:rPr>
          <w:rFonts w:cs="Arial"/>
          <w:szCs w:val="24"/>
        </w:rPr>
      </w:pPr>
      <w:r w:rsidRPr="00023F3D">
        <w:rPr>
          <w:rFonts w:cstheme="minorHAnsi"/>
        </w:rPr>
        <w:t>Elaborar el Plan de capacitación en gestión documental y administración de archivos, dirigido a las áreas operativas del sistema institucional de archivos del IAIP</w:t>
      </w:r>
      <w:r w:rsidR="007B6805">
        <w:rPr>
          <w:rFonts w:cstheme="minorHAnsi"/>
        </w:rPr>
        <w:t>.</w:t>
      </w:r>
    </w:p>
    <w:p w:rsidR="007B6805" w:rsidRPr="00DE146F" w:rsidRDefault="001D4726" w:rsidP="003F3F96">
      <w:pPr>
        <w:rPr>
          <w:rFonts w:cs="Arial"/>
          <w:b/>
          <w:color w:val="006666"/>
          <w:sz w:val="24"/>
        </w:rPr>
      </w:pPr>
      <w:r>
        <w:rPr>
          <w:rFonts w:cs="Arial"/>
          <w:b/>
          <w:color w:val="006666"/>
          <w:sz w:val="24"/>
        </w:rPr>
        <w:t>3. Objetivos del Programa</w:t>
      </w:r>
    </w:p>
    <w:p w:rsidR="003F3F96" w:rsidRPr="007B6805" w:rsidRDefault="007B6805" w:rsidP="003F3F96">
      <w:pPr>
        <w:rPr>
          <w:rFonts w:cs="Arial"/>
          <w:color w:val="006666"/>
        </w:rPr>
      </w:pPr>
      <w:r w:rsidRPr="007B6805">
        <w:rPr>
          <w:rFonts w:cs="Arial"/>
          <w:color w:val="006666"/>
        </w:rPr>
        <w:t>General</w:t>
      </w:r>
      <w:r w:rsidR="003F3F96" w:rsidRPr="007B6805">
        <w:rPr>
          <w:rFonts w:cs="Arial"/>
          <w:color w:val="006666"/>
        </w:rPr>
        <w:t xml:space="preserve"> </w:t>
      </w:r>
    </w:p>
    <w:p w:rsidR="00BC02D5" w:rsidRDefault="007B6805" w:rsidP="00B31B8F">
      <w:pPr>
        <w:pStyle w:val="Prrafodelista"/>
        <w:numPr>
          <w:ilvl w:val="0"/>
          <w:numId w:val="48"/>
        </w:numPr>
        <w:spacing w:line="276" w:lineRule="auto"/>
        <w:jc w:val="both"/>
        <w:rPr>
          <w:rFonts w:cs="Arial"/>
          <w:szCs w:val="24"/>
        </w:rPr>
      </w:pPr>
      <w:r w:rsidRPr="007B6805">
        <w:rPr>
          <w:rFonts w:cs="Arial"/>
          <w:szCs w:val="24"/>
        </w:rPr>
        <w:t>Dotar al personal de las áreas operativas del sistema institucional de archivos del Instituto de Acceso a la Información</w:t>
      </w:r>
      <w:r w:rsidR="00AD0A08">
        <w:rPr>
          <w:rFonts w:cs="Arial"/>
          <w:szCs w:val="24"/>
        </w:rPr>
        <w:t xml:space="preserve"> Pública</w:t>
      </w:r>
      <w:r w:rsidRPr="007B6805">
        <w:rPr>
          <w:rFonts w:cs="Arial"/>
          <w:szCs w:val="24"/>
        </w:rPr>
        <w:t xml:space="preserve"> y Protección de Datos Personales de conocimientos conceptuales y técnicos</w:t>
      </w:r>
      <w:r w:rsidR="00BC02D5">
        <w:rPr>
          <w:rFonts w:cs="Arial"/>
          <w:szCs w:val="24"/>
        </w:rPr>
        <w:t xml:space="preserve"> </w:t>
      </w:r>
      <w:r w:rsidR="00821C1C">
        <w:rPr>
          <w:rFonts w:cs="Arial"/>
          <w:szCs w:val="24"/>
        </w:rPr>
        <w:t xml:space="preserve">que les permita mejorar la </w:t>
      </w:r>
      <w:r w:rsidR="00BC02D5">
        <w:rPr>
          <w:rFonts w:cs="Arial"/>
          <w:szCs w:val="24"/>
        </w:rPr>
        <w:t>gestión documental</w:t>
      </w:r>
      <w:r w:rsidR="00AD0A08">
        <w:rPr>
          <w:rFonts w:cs="Arial"/>
          <w:szCs w:val="24"/>
        </w:rPr>
        <w:t xml:space="preserve"> de los archivos que </w:t>
      </w:r>
      <w:r w:rsidR="00660116">
        <w:rPr>
          <w:rFonts w:cs="Arial"/>
          <w:szCs w:val="24"/>
        </w:rPr>
        <w:t xml:space="preserve">las unidades administrativas productoras de la documentación </w:t>
      </w:r>
      <w:r w:rsidR="00AD0A08">
        <w:rPr>
          <w:rFonts w:cs="Arial"/>
          <w:szCs w:val="24"/>
        </w:rPr>
        <w:t xml:space="preserve">generan </w:t>
      </w:r>
      <w:r w:rsidR="00660116">
        <w:rPr>
          <w:rFonts w:cs="Arial"/>
          <w:szCs w:val="24"/>
        </w:rPr>
        <w:t xml:space="preserve">en el ejercicio de sus funciones. </w:t>
      </w:r>
    </w:p>
    <w:p w:rsidR="007B6805" w:rsidRDefault="007B6805" w:rsidP="007B6805">
      <w:pPr>
        <w:rPr>
          <w:rFonts w:cs="Arial"/>
          <w:color w:val="006666"/>
        </w:rPr>
      </w:pPr>
      <w:r>
        <w:rPr>
          <w:rFonts w:cs="Arial"/>
          <w:color w:val="006666"/>
        </w:rPr>
        <w:t>Específicos</w:t>
      </w:r>
    </w:p>
    <w:p w:rsidR="00AF77CD" w:rsidRPr="00AF77CD" w:rsidRDefault="006C332E" w:rsidP="00AF77CD">
      <w:pPr>
        <w:pStyle w:val="Prrafodelista"/>
        <w:numPr>
          <w:ilvl w:val="0"/>
          <w:numId w:val="50"/>
        </w:numPr>
        <w:spacing w:line="276" w:lineRule="auto"/>
        <w:jc w:val="both"/>
        <w:rPr>
          <w:rFonts w:cs="Arial"/>
        </w:rPr>
      </w:pPr>
      <w:r w:rsidRPr="00AF77CD">
        <w:rPr>
          <w:rFonts w:cs="Arial"/>
        </w:rPr>
        <w:t>Dar a conocer</w:t>
      </w:r>
      <w:r w:rsidR="00DC3FC3" w:rsidRPr="00AF77CD">
        <w:rPr>
          <w:rFonts w:cs="Arial"/>
        </w:rPr>
        <w:t xml:space="preserve"> el marco normativo aplicable a sujetos obligados y personal del servicio público para el adecuado mane</w:t>
      </w:r>
      <w:r w:rsidR="007429EE">
        <w:rPr>
          <w:rFonts w:cs="Arial"/>
        </w:rPr>
        <w:t>jo de los documentos de archivo</w:t>
      </w:r>
      <w:r w:rsidR="00DC3FC3" w:rsidRPr="00AF77CD">
        <w:rPr>
          <w:rFonts w:cs="Arial"/>
        </w:rPr>
        <w:t xml:space="preserve"> a su cargo.</w:t>
      </w:r>
    </w:p>
    <w:p w:rsidR="00AF77CD" w:rsidRPr="00AF77CD" w:rsidRDefault="00DE146F" w:rsidP="00AF77CD">
      <w:pPr>
        <w:pStyle w:val="Prrafodelista"/>
        <w:numPr>
          <w:ilvl w:val="0"/>
          <w:numId w:val="50"/>
        </w:numPr>
        <w:spacing w:line="276" w:lineRule="auto"/>
        <w:jc w:val="both"/>
        <w:rPr>
          <w:rFonts w:cs="Arial"/>
        </w:rPr>
      </w:pPr>
      <w:r w:rsidRPr="00AF77CD">
        <w:rPr>
          <w:rFonts w:cs="Arial"/>
        </w:rPr>
        <w:t>Analizar las etapas y procesos de la gestión documental y administración de archivos.</w:t>
      </w:r>
    </w:p>
    <w:p w:rsidR="00AF77CD" w:rsidRPr="00AF77CD" w:rsidRDefault="00DC3FC3" w:rsidP="00AF77CD">
      <w:pPr>
        <w:pStyle w:val="Prrafodelista"/>
        <w:numPr>
          <w:ilvl w:val="0"/>
          <w:numId w:val="50"/>
        </w:numPr>
        <w:spacing w:line="276" w:lineRule="auto"/>
        <w:jc w:val="both"/>
        <w:rPr>
          <w:rFonts w:cs="Arial"/>
        </w:rPr>
      </w:pPr>
      <w:r w:rsidRPr="00AF77CD">
        <w:rPr>
          <w:rFonts w:cs="Arial"/>
        </w:rPr>
        <w:t>Conocer</w:t>
      </w:r>
      <w:r w:rsidR="00DE146F" w:rsidRPr="00AF77CD">
        <w:rPr>
          <w:rFonts w:cs="Arial"/>
        </w:rPr>
        <w:t xml:space="preserve"> la naturaleza y función de los sistemas de archivos</w:t>
      </w:r>
      <w:r w:rsidRPr="00AF77CD">
        <w:rPr>
          <w:rFonts w:cs="Arial"/>
        </w:rPr>
        <w:t xml:space="preserve"> </w:t>
      </w:r>
      <w:r w:rsidR="000D3A1C" w:rsidRPr="00AF77CD">
        <w:rPr>
          <w:rFonts w:cs="Arial"/>
        </w:rPr>
        <w:t xml:space="preserve">reconocidos legalmente </w:t>
      </w:r>
      <w:r w:rsidRPr="00AF77CD">
        <w:rPr>
          <w:rFonts w:cs="Arial"/>
        </w:rPr>
        <w:t>para la organización y administración integral de la documentación de archivos a cargo de los sujetos obligados.</w:t>
      </w:r>
    </w:p>
    <w:p w:rsidR="000D3A1C" w:rsidRPr="00AF77CD" w:rsidRDefault="00DC3FC3" w:rsidP="000D3A1C">
      <w:pPr>
        <w:pStyle w:val="Prrafodelista"/>
        <w:numPr>
          <w:ilvl w:val="0"/>
          <w:numId w:val="50"/>
        </w:numPr>
        <w:spacing w:line="276" w:lineRule="auto"/>
        <w:jc w:val="both"/>
        <w:rPr>
          <w:rFonts w:cs="Arial"/>
        </w:rPr>
      </w:pPr>
      <w:r w:rsidRPr="00AF77CD">
        <w:rPr>
          <w:rFonts w:cs="Arial"/>
        </w:rPr>
        <w:t xml:space="preserve">Identificar las funciones </w:t>
      </w:r>
      <w:r w:rsidR="000D3A1C" w:rsidRPr="00AF77CD">
        <w:rPr>
          <w:rFonts w:cs="Arial"/>
        </w:rPr>
        <w:t>reconocidas en la normativa aplicable que deben llevar a cabo las</w:t>
      </w:r>
      <w:r w:rsidRPr="00AF77CD">
        <w:rPr>
          <w:rFonts w:cs="Arial"/>
        </w:rPr>
        <w:t xml:space="preserve"> áreas normativas y operativas del Sistema Institucional de Archivos.</w:t>
      </w:r>
    </w:p>
    <w:p w:rsidR="00AF77CD" w:rsidRDefault="00AF77CD" w:rsidP="00146012">
      <w:pPr>
        <w:rPr>
          <w:rFonts w:cs="Arial"/>
          <w:b/>
          <w:color w:val="006666"/>
          <w:sz w:val="24"/>
        </w:rPr>
      </w:pPr>
    </w:p>
    <w:p w:rsidR="000F1E94" w:rsidRDefault="003F3F96" w:rsidP="00146012">
      <w:pPr>
        <w:rPr>
          <w:rFonts w:cs="Arial"/>
          <w:b/>
          <w:color w:val="006666"/>
          <w:sz w:val="24"/>
        </w:rPr>
      </w:pPr>
      <w:r w:rsidRPr="00DE146F">
        <w:rPr>
          <w:rFonts w:cs="Arial"/>
          <w:b/>
          <w:color w:val="006666"/>
          <w:sz w:val="24"/>
        </w:rPr>
        <w:lastRenderedPageBreak/>
        <w:t xml:space="preserve">4. </w:t>
      </w:r>
      <w:r w:rsidR="000F1E94">
        <w:rPr>
          <w:rFonts w:cs="Arial"/>
          <w:b/>
          <w:color w:val="006666"/>
          <w:sz w:val="24"/>
        </w:rPr>
        <w:t>Población objetivo.</w:t>
      </w:r>
    </w:p>
    <w:p w:rsidR="000F1E94" w:rsidRPr="00D161AC" w:rsidRDefault="000F1E94" w:rsidP="00D161AC">
      <w:pPr>
        <w:spacing w:line="276" w:lineRule="auto"/>
        <w:jc w:val="both"/>
      </w:pPr>
      <w:r>
        <w:rPr>
          <w:rFonts w:cs="Arial"/>
        </w:rPr>
        <w:t>El Programa de capacitación en gestión documental y administración de archivos 2021 está dirigido</w:t>
      </w:r>
      <w:r w:rsidR="007429EE">
        <w:rPr>
          <w:rFonts w:cs="Arial"/>
        </w:rPr>
        <w:t xml:space="preserve"> a </w:t>
      </w:r>
      <w:r w:rsidR="007429EE">
        <w:t>responsables de las áreas operativas del Sistema Ins</w:t>
      </w:r>
      <w:r w:rsidR="007429EE">
        <w:t>titucional de Archivos y al personal de las unidades administrativas productoras de la documentación</w:t>
      </w:r>
      <w:r w:rsidR="00242B5C">
        <w:t xml:space="preserve"> </w:t>
      </w:r>
      <w:r w:rsidR="00242B5C">
        <w:t>del IAIP</w:t>
      </w:r>
      <w:r w:rsidR="007429EE">
        <w:t xml:space="preserve"> que </w:t>
      </w:r>
      <w:r w:rsidR="00242B5C">
        <w:t>en el ejercicio de sus funciones producen, reciben o poseen documentos de archivo.</w:t>
      </w:r>
    </w:p>
    <w:p w:rsidR="00D161AC" w:rsidRDefault="00D161AC" w:rsidP="00146012">
      <w:pPr>
        <w:rPr>
          <w:rFonts w:cs="Arial"/>
          <w:b/>
          <w:color w:val="006666"/>
          <w:sz w:val="24"/>
        </w:rPr>
      </w:pPr>
    </w:p>
    <w:p w:rsidR="00146012" w:rsidRPr="00DE146F" w:rsidRDefault="00242B5C" w:rsidP="00146012">
      <w:pPr>
        <w:rPr>
          <w:rFonts w:cs="Arial"/>
          <w:b/>
          <w:color w:val="006666"/>
          <w:sz w:val="24"/>
        </w:rPr>
      </w:pPr>
      <w:bookmarkStart w:id="0" w:name="_GoBack"/>
      <w:bookmarkEnd w:id="0"/>
      <w:r>
        <w:rPr>
          <w:rFonts w:cs="Arial"/>
          <w:b/>
          <w:color w:val="006666"/>
          <w:sz w:val="24"/>
        </w:rPr>
        <w:t xml:space="preserve">5. </w:t>
      </w:r>
      <w:r w:rsidR="001D4726">
        <w:rPr>
          <w:rFonts w:cs="Arial"/>
          <w:b/>
          <w:color w:val="006666"/>
          <w:sz w:val="24"/>
        </w:rPr>
        <w:t>Contenidos</w:t>
      </w:r>
      <w:r w:rsidR="00871E73" w:rsidRPr="00DE146F">
        <w:rPr>
          <w:rFonts w:cs="Arial"/>
          <w:b/>
          <w:color w:val="006666"/>
          <w:sz w:val="24"/>
        </w:rPr>
        <w:t xml:space="preserve"> y c</w:t>
      </w:r>
      <w:r w:rsidR="00146012" w:rsidRPr="00DE146F">
        <w:rPr>
          <w:rFonts w:cs="Arial"/>
          <w:b/>
          <w:color w:val="006666"/>
          <w:sz w:val="24"/>
        </w:rPr>
        <w:t xml:space="preserve">ronograma </w:t>
      </w:r>
      <w:r w:rsidR="00CE2550" w:rsidRPr="00DE146F">
        <w:rPr>
          <w:rFonts w:cs="Arial"/>
          <w:b/>
          <w:color w:val="006666"/>
          <w:sz w:val="24"/>
        </w:rPr>
        <w:t>de</w:t>
      </w:r>
      <w:r w:rsidR="001D4726">
        <w:rPr>
          <w:rFonts w:cs="Arial"/>
          <w:b/>
          <w:color w:val="006666"/>
          <w:sz w:val="24"/>
        </w:rPr>
        <w:t xml:space="preserve"> la</w:t>
      </w:r>
      <w:r w:rsidR="00CE2550" w:rsidRPr="00DE146F">
        <w:rPr>
          <w:rFonts w:cs="Arial"/>
          <w:b/>
          <w:color w:val="006666"/>
          <w:sz w:val="24"/>
        </w:rPr>
        <w:t xml:space="preserve"> capacitación</w:t>
      </w:r>
    </w:p>
    <w:tbl>
      <w:tblPr>
        <w:tblpPr w:leftFromText="141" w:rightFromText="141" w:vertAnchor="text" w:horzAnchor="margin" w:tblpX="-582" w:tblpY="73"/>
        <w:tblW w:w="10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3"/>
        <w:gridCol w:w="740"/>
        <w:gridCol w:w="888"/>
        <w:gridCol w:w="1036"/>
        <w:gridCol w:w="889"/>
        <w:gridCol w:w="1036"/>
      </w:tblGrid>
      <w:tr w:rsidR="00AB511C" w:rsidRPr="00E0365F" w:rsidTr="00BA2146">
        <w:trPr>
          <w:cantSplit/>
          <w:trHeight w:val="1349"/>
          <w:tblHeader/>
        </w:trPr>
        <w:tc>
          <w:tcPr>
            <w:tcW w:w="5623" w:type="dxa"/>
            <w:shd w:val="clear" w:color="auto" w:fill="009999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AB511C" w:rsidRPr="00AB511C" w:rsidRDefault="00AB511C" w:rsidP="00154520">
            <w:pPr>
              <w:spacing w:after="0" w:line="256" w:lineRule="auto"/>
              <w:jc w:val="center"/>
              <w:rPr>
                <w:rFonts w:eastAsia="Times New Roman" w:cs="Arial"/>
                <w:b/>
                <w:lang w:eastAsia="es-MX"/>
              </w:rPr>
            </w:pPr>
            <w:r w:rsidRPr="00AB511C">
              <w:rPr>
                <w:rFonts w:eastAsia="Times New Roman" w:cs="Arial"/>
                <w:b/>
                <w:bCs/>
                <w:color w:val="FFFFFF" w:themeColor="background1"/>
                <w:kern w:val="24"/>
                <w:sz w:val="24"/>
                <w:lang w:eastAsia="es-MX"/>
              </w:rPr>
              <w:t xml:space="preserve">Contenidos </w:t>
            </w:r>
          </w:p>
        </w:tc>
        <w:tc>
          <w:tcPr>
            <w:tcW w:w="740" w:type="dxa"/>
            <w:shd w:val="clear" w:color="auto" w:fill="009999"/>
            <w:tcMar>
              <w:top w:w="15" w:type="dxa"/>
              <w:left w:w="19" w:type="dxa"/>
              <w:bottom w:w="0" w:type="dxa"/>
              <w:right w:w="19" w:type="dxa"/>
            </w:tcMar>
            <w:textDirection w:val="btLr"/>
            <w:vAlign w:val="center"/>
            <w:hideMark/>
          </w:tcPr>
          <w:p w:rsidR="00AB511C" w:rsidRPr="00AB511C" w:rsidRDefault="00AB511C" w:rsidP="00154520">
            <w:pPr>
              <w:spacing w:after="0" w:line="256" w:lineRule="auto"/>
              <w:ind w:left="113" w:right="113"/>
              <w:jc w:val="center"/>
              <w:rPr>
                <w:rFonts w:eastAsia="Times New Roman" w:cs="Arial"/>
                <w:b/>
                <w:lang w:eastAsia="es-MX"/>
              </w:rPr>
            </w:pPr>
            <w:r w:rsidRPr="00AB511C">
              <w:rPr>
                <w:rFonts w:eastAsia="Times New Roman" w:cs="Arial"/>
                <w:b/>
                <w:bCs/>
                <w:color w:val="FFFFFF" w:themeColor="background1"/>
                <w:kern w:val="24"/>
                <w:lang w:eastAsia="es-MX"/>
              </w:rPr>
              <w:t>Agosto</w:t>
            </w:r>
          </w:p>
        </w:tc>
        <w:tc>
          <w:tcPr>
            <w:tcW w:w="888" w:type="dxa"/>
            <w:shd w:val="clear" w:color="auto" w:fill="009999"/>
            <w:tcMar>
              <w:top w:w="15" w:type="dxa"/>
              <w:left w:w="19" w:type="dxa"/>
              <w:bottom w:w="0" w:type="dxa"/>
              <w:right w:w="19" w:type="dxa"/>
            </w:tcMar>
            <w:textDirection w:val="btLr"/>
            <w:vAlign w:val="center"/>
            <w:hideMark/>
          </w:tcPr>
          <w:p w:rsidR="00AB511C" w:rsidRPr="00AB511C" w:rsidRDefault="00AB511C" w:rsidP="00154520">
            <w:pPr>
              <w:spacing w:after="0" w:line="256" w:lineRule="auto"/>
              <w:ind w:left="113" w:right="113"/>
              <w:jc w:val="center"/>
              <w:rPr>
                <w:rFonts w:eastAsia="Times New Roman" w:cs="Arial"/>
                <w:b/>
                <w:lang w:eastAsia="es-MX"/>
              </w:rPr>
            </w:pPr>
            <w:r w:rsidRPr="00AB511C">
              <w:rPr>
                <w:rFonts w:eastAsia="Times New Roman" w:cs="Arial"/>
                <w:b/>
                <w:bCs/>
                <w:color w:val="FFFFFF" w:themeColor="background1"/>
                <w:kern w:val="24"/>
                <w:lang w:eastAsia="es-MX"/>
              </w:rPr>
              <w:t>Septiembre</w:t>
            </w:r>
          </w:p>
        </w:tc>
        <w:tc>
          <w:tcPr>
            <w:tcW w:w="1036" w:type="dxa"/>
            <w:shd w:val="clear" w:color="auto" w:fill="009999"/>
            <w:tcMar>
              <w:top w:w="15" w:type="dxa"/>
              <w:left w:w="19" w:type="dxa"/>
              <w:bottom w:w="0" w:type="dxa"/>
              <w:right w:w="19" w:type="dxa"/>
            </w:tcMar>
            <w:textDirection w:val="btLr"/>
            <w:vAlign w:val="center"/>
            <w:hideMark/>
          </w:tcPr>
          <w:p w:rsidR="00AB511C" w:rsidRPr="00AB511C" w:rsidRDefault="00AB511C" w:rsidP="00154520">
            <w:pPr>
              <w:spacing w:after="0" w:line="256" w:lineRule="auto"/>
              <w:ind w:left="113" w:right="113"/>
              <w:jc w:val="center"/>
              <w:rPr>
                <w:rFonts w:eastAsia="Times New Roman" w:cs="Arial"/>
                <w:b/>
                <w:lang w:eastAsia="es-MX"/>
              </w:rPr>
            </w:pPr>
            <w:r w:rsidRPr="00AB511C">
              <w:rPr>
                <w:rFonts w:eastAsia="Times New Roman" w:cs="Arial"/>
                <w:b/>
                <w:bCs/>
                <w:color w:val="FFFFFF" w:themeColor="background1"/>
                <w:kern w:val="24"/>
                <w:lang w:eastAsia="es-MX"/>
              </w:rPr>
              <w:t>Octubre</w:t>
            </w:r>
          </w:p>
        </w:tc>
        <w:tc>
          <w:tcPr>
            <w:tcW w:w="889" w:type="dxa"/>
            <w:shd w:val="clear" w:color="auto" w:fill="009999"/>
            <w:tcMar>
              <w:top w:w="15" w:type="dxa"/>
              <w:left w:w="19" w:type="dxa"/>
              <w:bottom w:w="0" w:type="dxa"/>
              <w:right w:w="19" w:type="dxa"/>
            </w:tcMar>
            <w:textDirection w:val="btLr"/>
            <w:vAlign w:val="center"/>
            <w:hideMark/>
          </w:tcPr>
          <w:p w:rsidR="00AB511C" w:rsidRPr="00AB511C" w:rsidRDefault="00AB511C" w:rsidP="00154520">
            <w:pPr>
              <w:spacing w:after="0" w:line="256" w:lineRule="auto"/>
              <w:ind w:left="113" w:right="113"/>
              <w:jc w:val="center"/>
              <w:rPr>
                <w:rFonts w:eastAsia="Times New Roman" w:cs="Arial"/>
                <w:b/>
                <w:lang w:eastAsia="es-MX"/>
              </w:rPr>
            </w:pPr>
            <w:r w:rsidRPr="00AB511C">
              <w:rPr>
                <w:rFonts w:eastAsia="Times New Roman" w:cs="Arial"/>
                <w:b/>
                <w:bCs/>
                <w:color w:val="FFFFFF" w:themeColor="background1"/>
                <w:kern w:val="24"/>
                <w:lang w:eastAsia="es-MX"/>
              </w:rPr>
              <w:t>Noviembre</w:t>
            </w:r>
          </w:p>
        </w:tc>
        <w:tc>
          <w:tcPr>
            <w:tcW w:w="1036" w:type="dxa"/>
            <w:shd w:val="clear" w:color="auto" w:fill="009999"/>
            <w:tcMar>
              <w:top w:w="15" w:type="dxa"/>
              <w:left w:w="19" w:type="dxa"/>
              <w:bottom w:w="0" w:type="dxa"/>
              <w:right w:w="19" w:type="dxa"/>
            </w:tcMar>
            <w:textDirection w:val="btLr"/>
            <w:vAlign w:val="center"/>
            <w:hideMark/>
          </w:tcPr>
          <w:p w:rsidR="00AB511C" w:rsidRPr="00AB511C" w:rsidRDefault="00AB511C" w:rsidP="00154520">
            <w:pPr>
              <w:spacing w:after="0" w:line="256" w:lineRule="auto"/>
              <w:ind w:left="113" w:right="113"/>
              <w:jc w:val="center"/>
              <w:rPr>
                <w:rFonts w:eastAsia="Times New Roman" w:cs="Arial"/>
                <w:b/>
                <w:lang w:eastAsia="es-MX"/>
              </w:rPr>
            </w:pPr>
            <w:r w:rsidRPr="00AB511C">
              <w:rPr>
                <w:rFonts w:eastAsia="Times New Roman" w:cs="Arial"/>
                <w:b/>
                <w:bCs/>
                <w:color w:val="FFFFFF" w:themeColor="background1"/>
                <w:kern w:val="24"/>
                <w:lang w:eastAsia="es-MX"/>
              </w:rPr>
              <w:t>Diciembre</w:t>
            </w:r>
          </w:p>
        </w:tc>
      </w:tr>
      <w:tr w:rsidR="00AB511C" w:rsidRPr="001C4DC2" w:rsidTr="00BA2146">
        <w:trPr>
          <w:trHeight w:val="614"/>
        </w:trPr>
        <w:tc>
          <w:tcPr>
            <w:tcW w:w="562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71E73" w:rsidRPr="00C5283F" w:rsidRDefault="00AB511C" w:rsidP="00AD7A32">
            <w:pPr>
              <w:spacing w:after="0"/>
              <w:jc w:val="both"/>
              <w:rPr>
                <w:rFonts w:cs="Arial"/>
                <w:b/>
              </w:rPr>
            </w:pPr>
            <w:r w:rsidRPr="00C5283F">
              <w:rPr>
                <w:rFonts w:cs="Arial"/>
                <w:b/>
              </w:rPr>
              <w:t>Módulo I. Conceptos básicos y legislación en materia de archivos</w:t>
            </w:r>
          </w:p>
          <w:p w:rsidR="00377DA5" w:rsidRPr="00C5283F" w:rsidRDefault="00377DA5" w:rsidP="007610E6">
            <w:pPr>
              <w:pStyle w:val="Prrafodelista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cs="Arial"/>
              </w:rPr>
            </w:pPr>
            <w:r w:rsidRPr="00C5283F">
              <w:rPr>
                <w:rFonts w:cs="Arial"/>
              </w:rPr>
              <w:t>Principios y conceptos archivísticos</w:t>
            </w:r>
          </w:p>
          <w:p w:rsidR="00377DA5" w:rsidRPr="00C5283F" w:rsidRDefault="00377DA5" w:rsidP="007610E6">
            <w:pPr>
              <w:pStyle w:val="Prrafodelista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cs="Arial"/>
              </w:rPr>
            </w:pPr>
            <w:r w:rsidRPr="00C5283F">
              <w:rPr>
                <w:rFonts w:cs="Arial"/>
              </w:rPr>
              <w:t>Ciencias auxiliares de la archivística</w:t>
            </w:r>
          </w:p>
          <w:p w:rsidR="00377DA5" w:rsidRPr="00C5283F" w:rsidRDefault="00377DA5" w:rsidP="007610E6">
            <w:pPr>
              <w:pStyle w:val="Prrafodelista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cs="Arial"/>
              </w:rPr>
            </w:pPr>
            <w:r w:rsidRPr="00C5283F">
              <w:rPr>
                <w:rFonts w:cs="Arial"/>
              </w:rPr>
              <w:t>Etapas del archivo</w:t>
            </w:r>
          </w:p>
          <w:p w:rsidR="00377DA5" w:rsidRPr="00C5283F" w:rsidRDefault="00377DA5" w:rsidP="007610E6">
            <w:pPr>
              <w:pStyle w:val="Prrafodelista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cs="Arial"/>
              </w:rPr>
            </w:pPr>
            <w:r w:rsidRPr="00C5283F">
              <w:rPr>
                <w:rFonts w:cs="Arial"/>
              </w:rPr>
              <w:t>Ley General de Archivos</w:t>
            </w:r>
          </w:p>
        </w:tc>
        <w:tc>
          <w:tcPr>
            <w:tcW w:w="740" w:type="dxa"/>
            <w:shd w:val="clear" w:color="auto" w:fill="009999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</w:tcPr>
          <w:p w:rsidR="00AB511C" w:rsidRPr="001C4DC2" w:rsidRDefault="00AB511C" w:rsidP="00B520D3">
            <w:pPr>
              <w:spacing w:after="0" w:line="256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</w:p>
        </w:tc>
        <w:tc>
          <w:tcPr>
            <w:tcW w:w="888" w:type="dxa"/>
            <w:shd w:val="clear" w:color="auto" w:fill="auto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</w:tcPr>
          <w:p w:rsidR="00AB511C" w:rsidRPr="001C4DC2" w:rsidRDefault="00AB511C" w:rsidP="00B520D3">
            <w:pPr>
              <w:spacing w:after="0" w:line="256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</w:p>
        </w:tc>
        <w:tc>
          <w:tcPr>
            <w:tcW w:w="1036" w:type="dxa"/>
            <w:shd w:val="clear" w:color="auto" w:fill="auto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</w:tcPr>
          <w:p w:rsidR="00AB511C" w:rsidRPr="001C4DC2" w:rsidRDefault="00AB511C" w:rsidP="00B520D3">
            <w:pPr>
              <w:spacing w:after="0" w:line="256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</w:p>
        </w:tc>
        <w:tc>
          <w:tcPr>
            <w:tcW w:w="889" w:type="dxa"/>
            <w:shd w:val="clear" w:color="auto" w:fill="auto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</w:tcPr>
          <w:p w:rsidR="00AB511C" w:rsidRPr="001C4DC2" w:rsidRDefault="00AB511C" w:rsidP="00B520D3">
            <w:pPr>
              <w:spacing w:after="0" w:line="256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</w:p>
        </w:tc>
        <w:tc>
          <w:tcPr>
            <w:tcW w:w="1036" w:type="dxa"/>
            <w:shd w:val="clear" w:color="auto" w:fill="auto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</w:tcPr>
          <w:p w:rsidR="00AB511C" w:rsidRPr="001C4DC2" w:rsidRDefault="00AB511C" w:rsidP="00B520D3">
            <w:pPr>
              <w:spacing w:after="0" w:line="256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</w:p>
        </w:tc>
      </w:tr>
      <w:tr w:rsidR="00AB511C" w:rsidRPr="001C4DC2" w:rsidTr="00BA2146">
        <w:trPr>
          <w:trHeight w:val="508"/>
        </w:trPr>
        <w:tc>
          <w:tcPr>
            <w:tcW w:w="562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B511C" w:rsidRPr="00C5283F" w:rsidRDefault="00AB511C" w:rsidP="00AD7A32">
            <w:pPr>
              <w:spacing w:after="0"/>
              <w:jc w:val="both"/>
              <w:rPr>
                <w:rFonts w:cs="Arial"/>
                <w:b/>
              </w:rPr>
            </w:pPr>
            <w:r w:rsidRPr="00C5283F">
              <w:rPr>
                <w:rFonts w:cs="Arial"/>
                <w:b/>
              </w:rPr>
              <w:t>Módulo II. Gestión documental y administración de archivos</w:t>
            </w:r>
          </w:p>
          <w:p w:rsidR="00377DA5" w:rsidRPr="00C5283F" w:rsidRDefault="00D55A48" w:rsidP="00AD7A32">
            <w:pPr>
              <w:pStyle w:val="Prrafodelista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cs="Arial"/>
              </w:rPr>
            </w:pPr>
            <w:r w:rsidRPr="00C5283F">
              <w:rPr>
                <w:rFonts w:cs="Arial"/>
              </w:rPr>
              <w:t xml:space="preserve">Producción </w:t>
            </w:r>
          </w:p>
          <w:p w:rsidR="00D55A48" w:rsidRPr="00C5283F" w:rsidRDefault="00D55A48" w:rsidP="00AD7A32">
            <w:pPr>
              <w:pStyle w:val="Prrafodelista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cs="Arial"/>
              </w:rPr>
            </w:pPr>
            <w:r w:rsidRPr="00C5283F">
              <w:rPr>
                <w:rFonts w:cs="Arial"/>
              </w:rPr>
              <w:t>Organización</w:t>
            </w:r>
          </w:p>
          <w:p w:rsidR="00D55A48" w:rsidRPr="00C5283F" w:rsidRDefault="00D55A48" w:rsidP="00AD7A32">
            <w:pPr>
              <w:pStyle w:val="Prrafodelista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cs="Arial"/>
              </w:rPr>
            </w:pPr>
            <w:r w:rsidRPr="00C5283F">
              <w:rPr>
                <w:rFonts w:cs="Arial"/>
              </w:rPr>
              <w:t>Acceso y consulta</w:t>
            </w:r>
          </w:p>
          <w:p w:rsidR="00D55A48" w:rsidRPr="00C5283F" w:rsidRDefault="00D55A48" w:rsidP="00AD7A32">
            <w:pPr>
              <w:pStyle w:val="Prrafodelista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cs="Arial"/>
              </w:rPr>
            </w:pPr>
            <w:r w:rsidRPr="00C5283F">
              <w:rPr>
                <w:rFonts w:cs="Arial"/>
              </w:rPr>
              <w:t xml:space="preserve">Valoración </w:t>
            </w:r>
          </w:p>
          <w:p w:rsidR="00D55A48" w:rsidRPr="00C5283F" w:rsidRDefault="00D55A48" w:rsidP="00AD7A32">
            <w:pPr>
              <w:pStyle w:val="Prrafodelista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cs="Arial"/>
              </w:rPr>
            </w:pPr>
            <w:r w:rsidRPr="00C5283F">
              <w:rPr>
                <w:rFonts w:cs="Arial"/>
              </w:rPr>
              <w:t>Disposición</w:t>
            </w:r>
          </w:p>
          <w:p w:rsidR="00D55A48" w:rsidRPr="00C5283F" w:rsidRDefault="00D55A48" w:rsidP="00AD7A32">
            <w:pPr>
              <w:pStyle w:val="Prrafodelista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cs="Arial"/>
              </w:rPr>
            </w:pPr>
            <w:r w:rsidRPr="00C5283F">
              <w:rPr>
                <w:rFonts w:cs="Arial"/>
              </w:rPr>
              <w:t>Conservación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</w:tcPr>
          <w:p w:rsidR="00AB511C" w:rsidRPr="001C4DC2" w:rsidRDefault="00AB511C" w:rsidP="00B520D3">
            <w:pPr>
              <w:spacing w:after="0" w:line="256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</w:p>
        </w:tc>
        <w:tc>
          <w:tcPr>
            <w:tcW w:w="888" w:type="dxa"/>
            <w:shd w:val="clear" w:color="auto" w:fill="009999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</w:tcPr>
          <w:p w:rsidR="00AB511C" w:rsidRPr="001C4DC2" w:rsidRDefault="00AB511C" w:rsidP="00B520D3">
            <w:pPr>
              <w:spacing w:after="0" w:line="256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</w:p>
        </w:tc>
        <w:tc>
          <w:tcPr>
            <w:tcW w:w="1036" w:type="dxa"/>
            <w:shd w:val="clear" w:color="auto" w:fill="auto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</w:tcPr>
          <w:p w:rsidR="00AB511C" w:rsidRPr="001C4DC2" w:rsidRDefault="00AB511C" w:rsidP="00B520D3">
            <w:pPr>
              <w:spacing w:after="0" w:line="256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</w:p>
        </w:tc>
        <w:tc>
          <w:tcPr>
            <w:tcW w:w="889" w:type="dxa"/>
            <w:shd w:val="clear" w:color="auto" w:fill="auto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</w:tcPr>
          <w:p w:rsidR="00AB511C" w:rsidRPr="001C4DC2" w:rsidRDefault="00AB511C" w:rsidP="00B520D3">
            <w:pPr>
              <w:spacing w:after="0" w:line="256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</w:p>
        </w:tc>
        <w:tc>
          <w:tcPr>
            <w:tcW w:w="1036" w:type="dxa"/>
            <w:shd w:val="clear" w:color="auto" w:fill="auto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</w:tcPr>
          <w:p w:rsidR="00AB511C" w:rsidRPr="001C4DC2" w:rsidRDefault="00AB511C" w:rsidP="00B520D3">
            <w:pPr>
              <w:spacing w:after="0" w:line="256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</w:p>
        </w:tc>
      </w:tr>
      <w:tr w:rsidR="00AB511C" w:rsidRPr="001C4DC2" w:rsidTr="00BA2146">
        <w:trPr>
          <w:trHeight w:val="508"/>
        </w:trPr>
        <w:tc>
          <w:tcPr>
            <w:tcW w:w="562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B511C" w:rsidRPr="00C5283F" w:rsidRDefault="00AB511C" w:rsidP="00B520D3">
            <w:pPr>
              <w:spacing w:after="0"/>
              <w:rPr>
                <w:rFonts w:cs="Arial"/>
                <w:b/>
              </w:rPr>
            </w:pPr>
            <w:r w:rsidRPr="00C5283F">
              <w:rPr>
                <w:rFonts w:cs="Arial"/>
                <w:b/>
              </w:rPr>
              <w:t>Módulo III. Sistemas de archivos</w:t>
            </w:r>
          </w:p>
          <w:p w:rsidR="00AD7A32" w:rsidRPr="00C5283F" w:rsidRDefault="00DA578F" w:rsidP="00AD7A32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cs="Arial"/>
              </w:rPr>
            </w:pPr>
            <w:r w:rsidRPr="00C5283F">
              <w:rPr>
                <w:rFonts w:cs="Arial"/>
              </w:rPr>
              <w:t>Sistema N</w:t>
            </w:r>
            <w:r w:rsidR="00AD7A32" w:rsidRPr="00C5283F">
              <w:rPr>
                <w:rFonts w:cs="Arial"/>
              </w:rPr>
              <w:t xml:space="preserve">acional </w:t>
            </w:r>
            <w:r w:rsidRPr="00C5283F">
              <w:rPr>
                <w:rFonts w:cs="Arial"/>
              </w:rPr>
              <w:t>de Archivos</w:t>
            </w:r>
          </w:p>
          <w:p w:rsidR="00AD7A32" w:rsidRPr="00C5283F" w:rsidRDefault="00AD7A32" w:rsidP="00AD7A32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cs="Arial"/>
              </w:rPr>
            </w:pPr>
            <w:r w:rsidRPr="00C5283F">
              <w:rPr>
                <w:rFonts w:cs="Arial"/>
              </w:rPr>
              <w:t>Consejo Nacional de Archivos</w:t>
            </w:r>
          </w:p>
          <w:p w:rsidR="00AD7A32" w:rsidRPr="00C5283F" w:rsidRDefault="00AD7A32" w:rsidP="00AD7A32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cs="Arial"/>
              </w:rPr>
            </w:pPr>
            <w:r w:rsidRPr="00C5283F">
              <w:rPr>
                <w:rFonts w:cs="Arial"/>
              </w:rPr>
              <w:t>Sistemas locales de archivos</w:t>
            </w:r>
          </w:p>
          <w:p w:rsidR="00D55A48" w:rsidRPr="00C5283F" w:rsidRDefault="00AD7A32" w:rsidP="00AD7A32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cs="Arial"/>
              </w:rPr>
            </w:pPr>
            <w:r w:rsidRPr="00C5283F">
              <w:rPr>
                <w:rFonts w:cs="Arial"/>
              </w:rPr>
              <w:t>Sistemas Institucionales de Archivos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</w:tcPr>
          <w:p w:rsidR="00AB511C" w:rsidRPr="001C4DC2" w:rsidRDefault="00AB511C" w:rsidP="00B520D3">
            <w:pPr>
              <w:spacing w:after="0" w:line="256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</w:p>
        </w:tc>
        <w:tc>
          <w:tcPr>
            <w:tcW w:w="888" w:type="dxa"/>
            <w:shd w:val="clear" w:color="auto" w:fill="auto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</w:tcPr>
          <w:p w:rsidR="00AB511C" w:rsidRPr="001C4DC2" w:rsidRDefault="00AB511C" w:rsidP="00B520D3">
            <w:pPr>
              <w:spacing w:after="0" w:line="256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</w:p>
        </w:tc>
        <w:tc>
          <w:tcPr>
            <w:tcW w:w="1036" w:type="dxa"/>
            <w:shd w:val="clear" w:color="auto" w:fill="009999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</w:tcPr>
          <w:p w:rsidR="00AB511C" w:rsidRPr="001C4DC2" w:rsidRDefault="00AB511C" w:rsidP="00B520D3">
            <w:pPr>
              <w:spacing w:after="0" w:line="256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</w:p>
        </w:tc>
        <w:tc>
          <w:tcPr>
            <w:tcW w:w="889" w:type="dxa"/>
            <w:shd w:val="clear" w:color="auto" w:fill="auto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</w:tcPr>
          <w:p w:rsidR="00AB511C" w:rsidRPr="001C4DC2" w:rsidRDefault="00AB511C" w:rsidP="00B520D3">
            <w:pPr>
              <w:spacing w:after="0" w:line="256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</w:p>
        </w:tc>
        <w:tc>
          <w:tcPr>
            <w:tcW w:w="1036" w:type="dxa"/>
            <w:shd w:val="clear" w:color="auto" w:fill="auto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</w:tcPr>
          <w:p w:rsidR="00AB511C" w:rsidRPr="001C4DC2" w:rsidRDefault="00AB511C" w:rsidP="00B520D3">
            <w:pPr>
              <w:spacing w:after="0" w:line="256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</w:p>
        </w:tc>
      </w:tr>
      <w:tr w:rsidR="00AB511C" w:rsidRPr="001C4DC2" w:rsidTr="00BA2146">
        <w:trPr>
          <w:trHeight w:val="1823"/>
        </w:trPr>
        <w:tc>
          <w:tcPr>
            <w:tcW w:w="562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B511C" w:rsidRPr="00C5283F" w:rsidRDefault="00AB511C" w:rsidP="00B520D3">
            <w:pPr>
              <w:spacing w:after="0"/>
              <w:jc w:val="both"/>
              <w:rPr>
                <w:rFonts w:cs="Arial"/>
                <w:b/>
              </w:rPr>
            </w:pPr>
            <w:r w:rsidRPr="00C5283F">
              <w:rPr>
                <w:rFonts w:cs="Arial"/>
                <w:b/>
              </w:rPr>
              <w:lastRenderedPageBreak/>
              <w:t>Módulo IV. Funciones y responsabilidades del Sistema Institucional de Archivos.</w:t>
            </w:r>
          </w:p>
          <w:p w:rsidR="00DF6238" w:rsidRPr="00C5283F" w:rsidRDefault="00DF6238" w:rsidP="00921BEB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cs="Arial"/>
              </w:rPr>
            </w:pPr>
            <w:r w:rsidRPr="00C5283F">
              <w:rPr>
                <w:rFonts w:cs="Arial"/>
              </w:rPr>
              <w:t>Área Coordinadora de Archivos</w:t>
            </w:r>
          </w:p>
          <w:p w:rsidR="007761D1" w:rsidRPr="00C5283F" w:rsidRDefault="00DF6238" w:rsidP="00921BEB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cs="Arial"/>
              </w:rPr>
            </w:pPr>
            <w:r w:rsidRPr="00C5283F">
              <w:rPr>
                <w:rFonts w:cs="Arial"/>
              </w:rPr>
              <w:t>Oficialía de partes</w:t>
            </w:r>
          </w:p>
          <w:p w:rsidR="00DF6238" w:rsidRPr="00C5283F" w:rsidRDefault="00DF6238" w:rsidP="00921BEB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cs="Arial"/>
              </w:rPr>
            </w:pPr>
            <w:r w:rsidRPr="00C5283F">
              <w:rPr>
                <w:rFonts w:cs="Arial"/>
              </w:rPr>
              <w:t>Archivo de trámite</w:t>
            </w:r>
          </w:p>
          <w:p w:rsidR="00DF6238" w:rsidRPr="00C5283F" w:rsidRDefault="00DF6238" w:rsidP="00921BEB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cs="Arial"/>
              </w:rPr>
            </w:pPr>
            <w:r w:rsidRPr="00C5283F">
              <w:rPr>
                <w:rFonts w:cs="Arial"/>
              </w:rPr>
              <w:t>Archivo de concentración</w:t>
            </w:r>
          </w:p>
          <w:p w:rsidR="00DF6238" w:rsidRPr="00C5283F" w:rsidRDefault="00DF6238" w:rsidP="00921BEB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cs="Arial"/>
              </w:rPr>
            </w:pPr>
            <w:r w:rsidRPr="00C5283F">
              <w:rPr>
                <w:rFonts w:cs="Arial"/>
              </w:rPr>
              <w:t>Archivo histórico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</w:tcPr>
          <w:p w:rsidR="00AB511C" w:rsidRPr="001C4DC2" w:rsidRDefault="00AB511C" w:rsidP="00B520D3">
            <w:pPr>
              <w:spacing w:after="0" w:line="256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</w:p>
        </w:tc>
        <w:tc>
          <w:tcPr>
            <w:tcW w:w="888" w:type="dxa"/>
            <w:shd w:val="clear" w:color="auto" w:fill="auto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</w:tcPr>
          <w:p w:rsidR="00AB511C" w:rsidRPr="001C4DC2" w:rsidRDefault="00AB511C" w:rsidP="00B520D3">
            <w:pPr>
              <w:spacing w:after="0" w:line="256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</w:p>
        </w:tc>
        <w:tc>
          <w:tcPr>
            <w:tcW w:w="1036" w:type="dxa"/>
            <w:shd w:val="clear" w:color="auto" w:fill="auto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</w:tcPr>
          <w:p w:rsidR="00AB511C" w:rsidRPr="001C4DC2" w:rsidRDefault="00AB511C" w:rsidP="00B520D3">
            <w:pPr>
              <w:spacing w:after="0" w:line="256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</w:p>
        </w:tc>
        <w:tc>
          <w:tcPr>
            <w:tcW w:w="889" w:type="dxa"/>
            <w:shd w:val="clear" w:color="auto" w:fill="009999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</w:tcPr>
          <w:p w:rsidR="00AB511C" w:rsidRPr="001C4DC2" w:rsidRDefault="00AB511C" w:rsidP="00B520D3">
            <w:pPr>
              <w:spacing w:after="0" w:line="256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</w:p>
        </w:tc>
        <w:tc>
          <w:tcPr>
            <w:tcW w:w="1036" w:type="dxa"/>
            <w:shd w:val="clear" w:color="auto" w:fill="auto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</w:tcPr>
          <w:p w:rsidR="00AB511C" w:rsidRPr="001C4DC2" w:rsidRDefault="00AB511C" w:rsidP="00B520D3">
            <w:pPr>
              <w:spacing w:after="0" w:line="256" w:lineRule="auto"/>
              <w:jc w:val="center"/>
              <w:rPr>
                <w:rFonts w:eastAsia="Times New Roman" w:cs="Arial"/>
                <w:sz w:val="16"/>
                <w:szCs w:val="16"/>
                <w:lang w:eastAsia="es-MX"/>
              </w:rPr>
            </w:pPr>
          </w:p>
        </w:tc>
      </w:tr>
    </w:tbl>
    <w:p w:rsidR="00B91726" w:rsidRDefault="00B91726" w:rsidP="003F3F96">
      <w:pPr>
        <w:rPr>
          <w:rFonts w:cs="Arial"/>
          <w:color w:val="006666"/>
          <w:szCs w:val="24"/>
        </w:rPr>
      </w:pPr>
    </w:p>
    <w:p w:rsidR="001D4726" w:rsidRDefault="00242B5C" w:rsidP="003F3F96">
      <w:pPr>
        <w:rPr>
          <w:rFonts w:cs="Arial"/>
          <w:color w:val="006666"/>
          <w:szCs w:val="24"/>
        </w:rPr>
      </w:pPr>
      <w:r>
        <w:rPr>
          <w:rFonts w:cs="Arial"/>
          <w:color w:val="006666"/>
          <w:szCs w:val="24"/>
        </w:rPr>
        <w:t>5</w:t>
      </w:r>
      <w:r w:rsidR="0049583B" w:rsidRPr="00602CDD">
        <w:rPr>
          <w:rFonts w:cs="Arial"/>
          <w:color w:val="006666"/>
          <w:szCs w:val="24"/>
        </w:rPr>
        <w:t>.1 Re</w:t>
      </w:r>
      <w:r w:rsidR="001D4726">
        <w:rPr>
          <w:rFonts w:cs="Arial"/>
          <w:color w:val="006666"/>
          <w:szCs w:val="24"/>
        </w:rPr>
        <w:t>cursos disponibles</w:t>
      </w:r>
    </w:p>
    <w:p w:rsidR="001D4726" w:rsidRDefault="001D4726" w:rsidP="001D4726">
      <w:pPr>
        <w:spacing w:line="276" w:lineRule="auto"/>
        <w:jc w:val="both"/>
        <w:rPr>
          <w:rFonts w:cs="Arial"/>
          <w:color w:val="000000" w:themeColor="text1"/>
        </w:rPr>
      </w:pPr>
      <w:r w:rsidRPr="00A81DEA">
        <w:rPr>
          <w:rFonts w:cs="Arial"/>
          <w:color w:val="000000" w:themeColor="text1"/>
        </w:rPr>
        <w:t xml:space="preserve">Los </w:t>
      </w:r>
      <w:r w:rsidRPr="001D4726">
        <w:rPr>
          <w:rFonts w:cs="Arial"/>
        </w:rPr>
        <w:t xml:space="preserve">recursos humanos </w:t>
      </w:r>
      <w:r w:rsidRPr="00A81DEA">
        <w:rPr>
          <w:rFonts w:cs="Arial"/>
          <w:color w:val="000000" w:themeColor="text1"/>
        </w:rPr>
        <w:t>con los que cuenta el Área Coordinadora de Archivos para alcanzar los objetivos establecidos en el presente Programa</w:t>
      </w:r>
      <w:r>
        <w:rPr>
          <w:rFonts w:cs="Arial"/>
          <w:color w:val="000000" w:themeColor="text1"/>
        </w:rPr>
        <w:t xml:space="preserve"> son dos personas del servicio público de nivel operativo asignadas a la Secretaría Técnica del Instituto.</w:t>
      </w:r>
    </w:p>
    <w:p w:rsidR="001D4726" w:rsidRPr="00B67350" w:rsidRDefault="001D4726" w:rsidP="001D4726">
      <w:pPr>
        <w:spacing w:after="0" w:line="360" w:lineRule="auto"/>
        <w:jc w:val="both"/>
        <w:rPr>
          <w:rFonts w:cs="Arial"/>
          <w:color w:val="000000" w:themeColor="text1"/>
        </w:rPr>
      </w:pPr>
      <w:r w:rsidRPr="00B67350">
        <w:rPr>
          <w:rFonts w:cs="Arial"/>
          <w:color w:val="000000" w:themeColor="text1"/>
        </w:rPr>
        <w:t xml:space="preserve">Respecto de los </w:t>
      </w:r>
      <w:r w:rsidRPr="001D4726">
        <w:rPr>
          <w:rFonts w:cs="Arial"/>
        </w:rPr>
        <w:t xml:space="preserve">recursos materiales </w:t>
      </w:r>
      <w:r>
        <w:rPr>
          <w:rFonts w:cs="Arial"/>
          <w:color w:val="000000" w:themeColor="text1"/>
        </w:rPr>
        <w:t>el Área Coordinadora de Archivos</w:t>
      </w:r>
      <w:r w:rsidRPr="00B67350">
        <w:rPr>
          <w:rFonts w:cs="Arial"/>
          <w:color w:val="000000" w:themeColor="text1"/>
        </w:rPr>
        <w:t xml:space="preserve"> cuenta con:</w:t>
      </w:r>
    </w:p>
    <w:p w:rsidR="001D4726" w:rsidRPr="00B67350" w:rsidRDefault="001D4726" w:rsidP="001D4726">
      <w:pPr>
        <w:pStyle w:val="Prrafodelista"/>
        <w:numPr>
          <w:ilvl w:val="0"/>
          <w:numId w:val="23"/>
        </w:numPr>
        <w:spacing w:line="276" w:lineRule="auto"/>
        <w:jc w:val="both"/>
        <w:rPr>
          <w:rFonts w:cs="Arial"/>
          <w:color w:val="000000" w:themeColor="text1"/>
        </w:rPr>
      </w:pPr>
      <w:r w:rsidRPr="00B67350">
        <w:rPr>
          <w:rFonts w:cs="Arial"/>
          <w:color w:val="000000" w:themeColor="text1"/>
        </w:rPr>
        <w:t>Equipos de cómputo de escritorio conectados a internet</w:t>
      </w:r>
    </w:p>
    <w:p w:rsidR="001D4726" w:rsidRPr="00B67350" w:rsidRDefault="001D4726" w:rsidP="001D4726">
      <w:pPr>
        <w:pStyle w:val="Prrafodelista"/>
        <w:numPr>
          <w:ilvl w:val="0"/>
          <w:numId w:val="23"/>
        </w:numPr>
        <w:spacing w:line="276" w:lineRule="auto"/>
        <w:jc w:val="both"/>
        <w:rPr>
          <w:rFonts w:cs="Arial"/>
          <w:color w:val="000000" w:themeColor="text1"/>
        </w:rPr>
      </w:pPr>
      <w:r w:rsidRPr="00B67350">
        <w:rPr>
          <w:rFonts w:cs="Arial"/>
          <w:color w:val="000000" w:themeColor="text1"/>
        </w:rPr>
        <w:t>Equipos de impresión y copias</w:t>
      </w:r>
    </w:p>
    <w:p w:rsidR="00AF77CD" w:rsidRPr="00242B5C" w:rsidRDefault="001D4726" w:rsidP="001D4726">
      <w:pPr>
        <w:pStyle w:val="Prrafodelista"/>
        <w:numPr>
          <w:ilvl w:val="0"/>
          <w:numId w:val="23"/>
        </w:numPr>
        <w:spacing w:line="276" w:lineRule="auto"/>
        <w:jc w:val="both"/>
        <w:rPr>
          <w:rFonts w:cs="Arial"/>
          <w:color w:val="000000" w:themeColor="text1"/>
        </w:rPr>
      </w:pPr>
      <w:r w:rsidRPr="00B67350">
        <w:rPr>
          <w:rFonts w:cs="Arial"/>
          <w:color w:val="000000" w:themeColor="text1"/>
        </w:rPr>
        <w:t>Material de papelería</w:t>
      </w:r>
    </w:p>
    <w:p w:rsidR="00683F67" w:rsidRPr="001D4726" w:rsidRDefault="00242B5C" w:rsidP="001D4726">
      <w:pPr>
        <w:spacing w:line="276" w:lineRule="auto"/>
        <w:jc w:val="both"/>
        <w:rPr>
          <w:rFonts w:cs="Arial"/>
          <w:color w:val="000000" w:themeColor="text1"/>
        </w:rPr>
      </w:pPr>
      <w:r>
        <w:rPr>
          <w:rFonts w:cs="Arial"/>
          <w:color w:val="006666"/>
        </w:rPr>
        <w:t>5</w:t>
      </w:r>
      <w:r w:rsidR="00683F67" w:rsidRPr="00602CDD">
        <w:rPr>
          <w:rFonts w:cs="Arial"/>
          <w:color w:val="006666"/>
        </w:rPr>
        <w:t>.2 Probatorios del proceso de capacitación</w:t>
      </w:r>
    </w:p>
    <w:p w:rsidR="005B0F06" w:rsidRDefault="005B0F06" w:rsidP="00683F67">
      <w:pPr>
        <w:pStyle w:val="Prrafodelista"/>
        <w:numPr>
          <w:ilvl w:val="0"/>
          <w:numId w:val="36"/>
        </w:numPr>
        <w:jc w:val="both"/>
        <w:rPr>
          <w:rFonts w:cs="Arial"/>
        </w:rPr>
      </w:pPr>
      <w:r>
        <w:rPr>
          <w:rFonts w:cs="Arial"/>
        </w:rPr>
        <w:t>Oficios de convocatoria</w:t>
      </w:r>
      <w:r w:rsidR="0018206B">
        <w:rPr>
          <w:rFonts w:cs="Arial"/>
        </w:rPr>
        <w:t xml:space="preserve"> al personal de las áreas administrativas productoras de la documentación</w:t>
      </w:r>
    </w:p>
    <w:p w:rsidR="005B0F06" w:rsidRDefault="005B0F06" w:rsidP="00683F67">
      <w:pPr>
        <w:pStyle w:val="Prrafodelista"/>
        <w:numPr>
          <w:ilvl w:val="0"/>
          <w:numId w:val="36"/>
        </w:numPr>
        <w:jc w:val="both"/>
        <w:rPr>
          <w:rFonts w:cs="Arial"/>
        </w:rPr>
      </w:pPr>
      <w:r>
        <w:rPr>
          <w:rFonts w:cs="Arial"/>
        </w:rPr>
        <w:t>Carta descriptiva</w:t>
      </w:r>
    </w:p>
    <w:p w:rsidR="005B0F06" w:rsidRDefault="005B0F06" w:rsidP="00683F67">
      <w:pPr>
        <w:pStyle w:val="Prrafodelista"/>
        <w:numPr>
          <w:ilvl w:val="0"/>
          <w:numId w:val="36"/>
        </w:numPr>
        <w:jc w:val="both"/>
        <w:rPr>
          <w:rFonts w:cs="Arial"/>
        </w:rPr>
      </w:pPr>
      <w:r>
        <w:rPr>
          <w:rFonts w:cs="Arial"/>
        </w:rPr>
        <w:t>Material didáctico</w:t>
      </w:r>
    </w:p>
    <w:p w:rsidR="00B91726" w:rsidRPr="00242B5C" w:rsidRDefault="00B91726" w:rsidP="001D4726">
      <w:pPr>
        <w:pStyle w:val="Prrafodelista"/>
        <w:numPr>
          <w:ilvl w:val="0"/>
          <w:numId w:val="36"/>
        </w:numPr>
        <w:jc w:val="both"/>
        <w:rPr>
          <w:rFonts w:cs="Arial"/>
        </w:rPr>
      </w:pPr>
      <w:r>
        <w:rPr>
          <w:rFonts w:cs="Arial"/>
        </w:rPr>
        <w:t>L</w:t>
      </w:r>
      <w:r w:rsidR="00683F67" w:rsidRPr="00683F67">
        <w:rPr>
          <w:rFonts w:cs="Arial"/>
        </w:rPr>
        <w:t xml:space="preserve">istas de asistencia </w:t>
      </w:r>
      <w:r w:rsidR="005B0F06">
        <w:rPr>
          <w:rFonts w:cs="Arial"/>
        </w:rPr>
        <w:t xml:space="preserve">que </w:t>
      </w:r>
      <w:r w:rsidR="00683F67" w:rsidRPr="00683F67">
        <w:rPr>
          <w:rFonts w:cs="Arial"/>
        </w:rPr>
        <w:t>especificará el nombre y cargo de la o</w:t>
      </w:r>
      <w:r w:rsidR="00242B5C">
        <w:rPr>
          <w:rFonts w:cs="Arial"/>
        </w:rPr>
        <w:t xml:space="preserve"> el servidor público capacitado</w:t>
      </w:r>
    </w:p>
    <w:p w:rsidR="00242B5C" w:rsidRDefault="00242B5C" w:rsidP="001D4726">
      <w:pPr>
        <w:jc w:val="both"/>
        <w:rPr>
          <w:rFonts w:cstheme="minorHAnsi"/>
          <w:szCs w:val="28"/>
        </w:rPr>
      </w:pPr>
    </w:p>
    <w:p w:rsidR="005944CC" w:rsidRDefault="001D4726" w:rsidP="001D4726">
      <w:pPr>
        <w:jc w:val="both"/>
        <w:rPr>
          <w:rFonts w:cs="Arial"/>
          <w:color w:val="000000" w:themeColor="text1"/>
          <w:sz w:val="24"/>
        </w:rPr>
      </w:pPr>
      <w:r>
        <w:rPr>
          <w:rFonts w:cstheme="minorHAnsi"/>
          <w:szCs w:val="28"/>
        </w:rPr>
        <w:t>En cumplimiento con</w:t>
      </w:r>
      <w:r w:rsidRPr="00CA7743">
        <w:rPr>
          <w:rFonts w:cstheme="minorHAnsi"/>
          <w:szCs w:val="28"/>
        </w:rPr>
        <w:t xml:space="preserve"> lo establecido en el artículo </w:t>
      </w:r>
      <w:r w:rsidR="00AF77CD" w:rsidRPr="002821A3">
        <w:rPr>
          <w:rFonts w:cs="Arial"/>
          <w:szCs w:val="24"/>
        </w:rPr>
        <w:t>28</w:t>
      </w:r>
      <w:r w:rsidR="00AF77CD">
        <w:rPr>
          <w:rFonts w:cs="Arial"/>
          <w:szCs w:val="24"/>
        </w:rPr>
        <w:t>, f</w:t>
      </w:r>
      <w:r w:rsidR="00AF77CD" w:rsidRPr="002821A3">
        <w:rPr>
          <w:rFonts w:cs="Arial"/>
          <w:szCs w:val="24"/>
        </w:rPr>
        <w:t>racción VII de la Ley General de Archivos</w:t>
      </w:r>
      <w:r w:rsidR="00AF77CD">
        <w:rPr>
          <w:rFonts w:cs="Arial"/>
          <w:szCs w:val="24"/>
        </w:rPr>
        <w:t xml:space="preserve"> y artículo 11, fracción II, inciso f del Reglamento Interno del Instituto de Acceso a la Información Pública y Protección de Datos Personales del Estado de Oaxaca</w:t>
      </w:r>
      <w:r w:rsidRPr="00CA7743">
        <w:rPr>
          <w:rFonts w:cstheme="minorHAnsi"/>
          <w:szCs w:val="28"/>
        </w:rPr>
        <w:t xml:space="preserve">, el Programa </w:t>
      </w:r>
      <w:r w:rsidR="00AF77CD">
        <w:rPr>
          <w:rFonts w:cstheme="minorHAnsi"/>
          <w:szCs w:val="28"/>
        </w:rPr>
        <w:t>de capacitación en gestión documental y administración de archivos 2021</w:t>
      </w:r>
      <w:r w:rsidRPr="00CA7743">
        <w:rPr>
          <w:rFonts w:cstheme="minorHAnsi"/>
          <w:szCs w:val="28"/>
        </w:rPr>
        <w:t xml:space="preserve"> fue elaborado por el</w:t>
      </w:r>
      <w:r w:rsidR="00AF77CD">
        <w:rPr>
          <w:rFonts w:cstheme="minorHAnsi"/>
          <w:szCs w:val="28"/>
        </w:rPr>
        <w:t xml:space="preserve"> Área Coordinadora de Archivos y notificado al Consejo General del Instituto de Acceso a la Información Pública y Protección de Datos Personales a los veintisiete días del mes de mayo del año dos mil veintiuno. </w:t>
      </w:r>
    </w:p>
    <w:p w:rsidR="00B91726" w:rsidRDefault="00B91726" w:rsidP="00AF77CD">
      <w:pPr>
        <w:jc w:val="center"/>
        <w:rPr>
          <w:rFonts w:cstheme="minorHAnsi"/>
          <w:szCs w:val="28"/>
        </w:rPr>
      </w:pPr>
    </w:p>
    <w:p w:rsidR="002F1CD0" w:rsidRPr="00AF77CD" w:rsidRDefault="00AF77CD" w:rsidP="00AF77CD">
      <w:pPr>
        <w:jc w:val="center"/>
        <w:rPr>
          <w:rFonts w:cstheme="minorHAnsi"/>
          <w:szCs w:val="28"/>
        </w:rPr>
      </w:pPr>
      <w:r w:rsidRPr="00AF77CD">
        <w:rPr>
          <w:rFonts w:cstheme="minorHAnsi"/>
          <w:szCs w:val="28"/>
        </w:rPr>
        <w:t>Elaboró</w:t>
      </w:r>
    </w:p>
    <w:p w:rsidR="00AF77CD" w:rsidRDefault="00AF77CD" w:rsidP="00AF77CD">
      <w:pPr>
        <w:jc w:val="center"/>
        <w:rPr>
          <w:rFonts w:cstheme="minorHAnsi"/>
          <w:color w:val="006666"/>
          <w:sz w:val="24"/>
          <w:szCs w:val="28"/>
        </w:rPr>
      </w:pPr>
    </w:p>
    <w:p w:rsidR="00AF77CD" w:rsidRDefault="00AF77CD" w:rsidP="00AF77CD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kern w:val="24"/>
          <w:sz w:val="22"/>
          <w:szCs w:val="22"/>
        </w:rPr>
      </w:pPr>
      <w:r w:rsidRPr="00AF77CD">
        <w:rPr>
          <w:rFonts w:asciiTheme="minorHAnsi" w:hAnsiTheme="minorHAnsi" w:cstheme="minorHAnsi"/>
          <w:kern w:val="24"/>
          <w:sz w:val="22"/>
          <w:szCs w:val="22"/>
        </w:rPr>
        <w:t>Licda. María Tanivet Ramos Reyes</w:t>
      </w:r>
    </w:p>
    <w:p w:rsidR="00AF77CD" w:rsidRPr="00AF77CD" w:rsidRDefault="00AF77CD" w:rsidP="00AF77CD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kern w:val="24"/>
          <w:sz w:val="22"/>
          <w:szCs w:val="22"/>
        </w:rPr>
        <w:t>Titular del Área Coordinadora de Archivos del IAIP</w:t>
      </w:r>
    </w:p>
    <w:p w:rsidR="00B91726" w:rsidRDefault="00B91726" w:rsidP="002F1CD0">
      <w:pPr>
        <w:jc w:val="both"/>
        <w:rPr>
          <w:rFonts w:cstheme="minorHAnsi"/>
          <w:szCs w:val="28"/>
        </w:rPr>
      </w:pPr>
    </w:p>
    <w:p w:rsidR="0054157D" w:rsidRDefault="0054157D" w:rsidP="002F1CD0">
      <w:pPr>
        <w:jc w:val="both"/>
        <w:rPr>
          <w:rFonts w:cstheme="minorHAnsi"/>
          <w:szCs w:val="28"/>
        </w:rPr>
      </w:pPr>
    </w:p>
    <w:p w:rsidR="008D154E" w:rsidRPr="00AF77CD" w:rsidRDefault="007F04B1" w:rsidP="001F169D">
      <w:pPr>
        <w:jc w:val="both"/>
        <w:rPr>
          <w:rFonts w:cstheme="minorHAnsi"/>
          <w:b/>
          <w:color w:val="006666"/>
          <w:sz w:val="24"/>
        </w:rPr>
      </w:pPr>
      <w:r w:rsidRPr="00AF77CD">
        <w:rPr>
          <w:rFonts w:cstheme="minorHAnsi"/>
          <w:b/>
          <w:color w:val="006666"/>
          <w:sz w:val="24"/>
        </w:rPr>
        <w:t>Datos de contacto</w:t>
      </w:r>
    </w:p>
    <w:p w:rsidR="008D154E" w:rsidRPr="001F169D" w:rsidRDefault="008D154E" w:rsidP="001F169D">
      <w:pPr>
        <w:jc w:val="both"/>
        <w:rPr>
          <w:rFonts w:ascii="Arial" w:hAnsi="Arial" w:cs="Arial"/>
          <w:b/>
          <w:color w:val="006666"/>
          <w:sz w:val="24"/>
          <w:highlight w:val="yellow"/>
          <w:u w:val="single"/>
        </w:rPr>
      </w:pPr>
    </w:p>
    <w:tbl>
      <w:tblPr>
        <w:tblStyle w:val="Tablaconcuadrcula"/>
        <w:tblW w:w="850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6"/>
        <w:gridCol w:w="3689"/>
      </w:tblGrid>
      <w:tr w:rsidR="000E26FC" w:rsidTr="002924B7">
        <w:trPr>
          <w:jc w:val="center"/>
        </w:trPr>
        <w:tc>
          <w:tcPr>
            <w:tcW w:w="4816" w:type="dxa"/>
          </w:tcPr>
          <w:p w:rsidR="00514B55" w:rsidRDefault="00514B55" w:rsidP="0068417B">
            <w:pPr>
              <w:pStyle w:val="Prrafodelista"/>
              <w:ind w:left="0"/>
              <w:jc w:val="both"/>
              <w:rPr>
                <w:noProof/>
                <w:lang w:eastAsia="es-MX"/>
              </w:rPr>
            </w:pPr>
          </w:p>
          <w:p w:rsidR="000E26FC" w:rsidRDefault="000E26FC" w:rsidP="0068417B">
            <w:pPr>
              <w:pStyle w:val="Prrafodelista"/>
              <w:ind w:left="0"/>
              <w:jc w:val="both"/>
              <w:rPr>
                <w:rFonts w:ascii="Arial" w:hAnsi="Arial" w:cs="Arial"/>
                <w:b/>
                <w:color w:val="006666"/>
                <w:sz w:val="24"/>
                <w:highlight w:val="yellow"/>
                <w:u w:val="single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6F4E0F77" wp14:editId="20B43CE5">
                  <wp:extent cx="2921159" cy="4428699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13132" r="49783"/>
                          <a:stretch/>
                        </pic:blipFill>
                        <pic:spPr bwMode="auto">
                          <a:xfrm>
                            <a:off x="0" y="0"/>
                            <a:ext cx="2934421" cy="44488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9" w:type="dxa"/>
          </w:tcPr>
          <w:p w:rsidR="006A6335" w:rsidRDefault="006A6335" w:rsidP="0021132B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Calibri"/>
                <w:b/>
                <w:bCs/>
                <w:color w:val="005754"/>
                <w:kern w:val="24"/>
                <w:sz w:val="44"/>
                <w:szCs w:val="64"/>
              </w:rPr>
            </w:pPr>
          </w:p>
          <w:p w:rsidR="006A6335" w:rsidRDefault="006A6335" w:rsidP="0021132B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Calibri"/>
                <w:b/>
                <w:bCs/>
                <w:color w:val="005754"/>
                <w:kern w:val="24"/>
                <w:sz w:val="44"/>
                <w:szCs w:val="64"/>
              </w:rPr>
            </w:pPr>
          </w:p>
          <w:p w:rsidR="0021132B" w:rsidRPr="00AF77CD" w:rsidRDefault="00E0365F" w:rsidP="00E0365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color w:val="006666"/>
                <w:kern w:val="24"/>
                <w:sz w:val="44"/>
                <w:szCs w:val="64"/>
              </w:rPr>
            </w:pPr>
            <w:r w:rsidRPr="00AF77CD">
              <w:rPr>
                <w:rFonts w:ascii="Calibri" w:hAnsi="Calibri" w:cs="Calibri"/>
                <w:bCs/>
                <w:color w:val="006666"/>
                <w:kern w:val="24"/>
                <w:sz w:val="32"/>
                <w:szCs w:val="64"/>
              </w:rPr>
              <w:t>Área Coordinadora de Archivos</w:t>
            </w:r>
          </w:p>
          <w:p w:rsidR="0021132B" w:rsidRPr="00AF77CD" w:rsidRDefault="0021132B" w:rsidP="0021132B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Calibri"/>
                <w:b/>
                <w:bCs/>
                <w:color w:val="006666"/>
                <w:kern w:val="24"/>
                <w:sz w:val="52"/>
                <w:szCs w:val="64"/>
              </w:rPr>
            </w:pPr>
          </w:p>
          <w:p w:rsidR="0021132B" w:rsidRPr="00AF77CD" w:rsidRDefault="0021132B" w:rsidP="0021132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6666"/>
                <w:sz w:val="22"/>
                <w:szCs w:val="22"/>
              </w:rPr>
            </w:pPr>
            <w:r w:rsidRPr="00AF77CD">
              <w:rPr>
                <w:rFonts w:asciiTheme="minorHAnsi" w:hAnsiTheme="minorHAnsi" w:cstheme="minorHAnsi"/>
                <w:color w:val="006666"/>
                <w:kern w:val="24"/>
                <w:sz w:val="22"/>
                <w:szCs w:val="22"/>
              </w:rPr>
              <w:t>Titular:</w:t>
            </w:r>
          </w:p>
          <w:p w:rsidR="0021132B" w:rsidRPr="00AF77CD" w:rsidRDefault="0021132B" w:rsidP="0021132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6666"/>
                <w:sz w:val="22"/>
                <w:szCs w:val="22"/>
              </w:rPr>
            </w:pPr>
            <w:r w:rsidRPr="00AF77CD">
              <w:rPr>
                <w:rFonts w:asciiTheme="minorHAnsi" w:hAnsiTheme="minorHAnsi" w:cstheme="minorHAnsi"/>
                <w:color w:val="006666"/>
                <w:kern w:val="24"/>
                <w:sz w:val="22"/>
                <w:szCs w:val="22"/>
              </w:rPr>
              <w:t>Licda. María Tanivet Ramos Reyes</w:t>
            </w:r>
          </w:p>
          <w:p w:rsidR="0021132B" w:rsidRPr="00AF77CD" w:rsidRDefault="0021132B" w:rsidP="0021132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6666"/>
                <w:sz w:val="22"/>
                <w:szCs w:val="22"/>
              </w:rPr>
            </w:pPr>
            <w:r w:rsidRPr="00AF77CD">
              <w:rPr>
                <w:rFonts w:asciiTheme="minorHAnsi" w:hAnsiTheme="minorHAnsi" w:cstheme="minorHAnsi"/>
                <w:color w:val="006666"/>
                <w:kern w:val="24"/>
                <w:sz w:val="22"/>
                <w:szCs w:val="22"/>
              </w:rPr>
              <w:t>Email: tanivet.ramos@iaipoaxaca.org.mx</w:t>
            </w:r>
          </w:p>
          <w:p w:rsidR="0021132B" w:rsidRPr="00AF77CD" w:rsidRDefault="0021132B" w:rsidP="0021132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6666"/>
                <w:sz w:val="22"/>
                <w:szCs w:val="22"/>
              </w:rPr>
            </w:pPr>
            <w:r w:rsidRPr="00AF77CD">
              <w:rPr>
                <w:rFonts w:asciiTheme="minorHAnsi" w:hAnsiTheme="minorHAnsi" w:cstheme="minorHAnsi"/>
                <w:color w:val="006666"/>
                <w:kern w:val="24"/>
                <w:sz w:val="22"/>
                <w:szCs w:val="22"/>
              </w:rPr>
              <w:t>Teléfono: 951 51 5 1190 ext. 214</w:t>
            </w:r>
          </w:p>
          <w:p w:rsidR="0021132B" w:rsidRPr="00AF77CD" w:rsidRDefault="0021132B" w:rsidP="0021132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6666"/>
                <w:sz w:val="22"/>
                <w:szCs w:val="22"/>
              </w:rPr>
            </w:pPr>
            <w:r w:rsidRPr="00AF77CD">
              <w:rPr>
                <w:rFonts w:asciiTheme="minorHAnsi" w:hAnsiTheme="minorHAnsi" w:cstheme="minorHAnsi"/>
                <w:color w:val="006666"/>
                <w:kern w:val="24"/>
                <w:sz w:val="22"/>
                <w:szCs w:val="22"/>
              </w:rPr>
              <w:t xml:space="preserve"> </w:t>
            </w:r>
          </w:p>
          <w:p w:rsidR="00DE2C99" w:rsidRPr="00AF77CD" w:rsidRDefault="0021132B" w:rsidP="00DE2C99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color w:val="006666"/>
                <w:kern w:val="24"/>
                <w:sz w:val="22"/>
                <w:szCs w:val="22"/>
              </w:rPr>
            </w:pPr>
            <w:r w:rsidRPr="00AF77CD">
              <w:rPr>
                <w:rFonts w:asciiTheme="minorHAnsi" w:hAnsiTheme="minorHAnsi" w:cstheme="minorHAnsi"/>
                <w:color w:val="006666"/>
                <w:kern w:val="24"/>
                <w:sz w:val="22"/>
                <w:szCs w:val="22"/>
              </w:rPr>
              <w:t>Personal operativo:</w:t>
            </w:r>
          </w:p>
          <w:p w:rsidR="0021132B" w:rsidRPr="00AF77CD" w:rsidRDefault="0021132B" w:rsidP="00DE2C99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6666"/>
                <w:sz w:val="22"/>
                <w:szCs w:val="22"/>
              </w:rPr>
            </w:pPr>
            <w:r w:rsidRPr="00AF77CD">
              <w:rPr>
                <w:rFonts w:asciiTheme="minorHAnsi" w:hAnsiTheme="minorHAnsi" w:cstheme="minorHAnsi"/>
                <w:color w:val="006666"/>
                <w:kern w:val="24"/>
                <w:sz w:val="22"/>
                <w:szCs w:val="22"/>
              </w:rPr>
              <w:t>Carelia Abigail Labastida Vega, Analista.</w:t>
            </w:r>
          </w:p>
          <w:p w:rsidR="0021132B" w:rsidRPr="00AF77CD" w:rsidRDefault="0021132B" w:rsidP="0021132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6666"/>
                <w:kern w:val="24"/>
                <w:sz w:val="22"/>
                <w:szCs w:val="22"/>
              </w:rPr>
            </w:pPr>
            <w:r w:rsidRPr="00AF77CD">
              <w:rPr>
                <w:rFonts w:asciiTheme="minorHAnsi" w:hAnsiTheme="minorHAnsi" w:cstheme="minorHAnsi"/>
                <w:color w:val="006666"/>
                <w:kern w:val="24"/>
                <w:sz w:val="22"/>
                <w:szCs w:val="22"/>
              </w:rPr>
              <w:t>Rigoberto Clemente Canseco Díaz, Asistente</w:t>
            </w:r>
          </w:p>
          <w:p w:rsidR="002904B4" w:rsidRPr="00AF77CD" w:rsidRDefault="002904B4" w:rsidP="0021132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6666"/>
                <w:kern w:val="24"/>
                <w:sz w:val="22"/>
                <w:szCs w:val="22"/>
              </w:rPr>
            </w:pPr>
            <w:r w:rsidRPr="00AF77CD">
              <w:rPr>
                <w:rFonts w:asciiTheme="minorHAnsi" w:hAnsiTheme="minorHAnsi" w:cstheme="minorHAnsi"/>
                <w:color w:val="006666"/>
                <w:kern w:val="24"/>
                <w:sz w:val="22"/>
                <w:szCs w:val="22"/>
              </w:rPr>
              <w:t xml:space="preserve">Juan Miguel </w:t>
            </w:r>
            <w:proofErr w:type="spellStart"/>
            <w:r w:rsidRPr="00AF77CD">
              <w:rPr>
                <w:rFonts w:asciiTheme="minorHAnsi" w:hAnsiTheme="minorHAnsi" w:cstheme="minorHAnsi"/>
                <w:color w:val="006666"/>
                <w:kern w:val="24"/>
                <w:sz w:val="22"/>
                <w:szCs w:val="22"/>
              </w:rPr>
              <w:t>Villacaña</w:t>
            </w:r>
            <w:proofErr w:type="spellEnd"/>
            <w:r w:rsidRPr="00AF77CD">
              <w:rPr>
                <w:rFonts w:asciiTheme="minorHAnsi" w:hAnsiTheme="minorHAnsi" w:cstheme="minorHAnsi"/>
                <w:color w:val="006666"/>
                <w:kern w:val="24"/>
                <w:sz w:val="22"/>
                <w:szCs w:val="22"/>
              </w:rPr>
              <w:t xml:space="preserve"> Vivas</w:t>
            </w:r>
          </w:p>
          <w:p w:rsidR="002904B4" w:rsidRPr="00AF77CD" w:rsidRDefault="001D4726" w:rsidP="0021132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6666"/>
                <w:kern w:val="24"/>
                <w:sz w:val="22"/>
                <w:szCs w:val="22"/>
              </w:rPr>
            </w:pPr>
            <w:r w:rsidRPr="00AF77CD">
              <w:rPr>
                <w:rFonts w:asciiTheme="minorHAnsi" w:hAnsiTheme="minorHAnsi" w:cstheme="minorHAnsi"/>
                <w:color w:val="006666"/>
                <w:kern w:val="24"/>
                <w:sz w:val="22"/>
                <w:szCs w:val="22"/>
              </w:rPr>
              <w:t>Auxiliar</w:t>
            </w:r>
          </w:p>
          <w:p w:rsidR="0021132B" w:rsidRPr="00AF77CD" w:rsidRDefault="0021132B" w:rsidP="0021132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6666"/>
                <w:sz w:val="22"/>
                <w:szCs w:val="22"/>
              </w:rPr>
            </w:pPr>
            <w:r w:rsidRPr="00AF77CD">
              <w:rPr>
                <w:rFonts w:asciiTheme="minorHAnsi" w:hAnsiTheme="minorHAnsi" w:cstheme="minorHAnsi"/>
                <w:color w:val="006666"/>
                <w:kern w:val="24"/>
                <w:sz w:val="22"/>
                <w:szCs w:val="22"/>
              </w:rPr>
              <w:t>Teléfono: 951 51 5 1190 ext. 213</w:t>
            </w:r>
          </w:p>
          <w:p w:rsidR="0021132B" w:rsidRPr="00AF77CD" w:rsidRDefault="0021132B" w:rsidP="0021132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6666"/>
                <w:kern w:val="24"/>
                <w:sz w:val="22"/>
                <w:szCs w:val="22"/>
              </w:rPr>
            </w:pPr>
          </w:p>
          <w:p w:rsidR="0021132B" w:rsidRDefault="0021132B" w:rsidP="0021132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AFA4"/>
                <w:kern w:val="24"/>
                <w:sz w:val="22"/>
                <w:szCs w:val="22"/>
              </w:rPr>
            </w:pPr>
          </w:p>
          <w:p w:rsidR="0021132B" w:rsidRPr="0021132B" w:rsidRDefault="0021132B" w:rsidP="0021132B">
            <w:pPr>
              <w:pStyle w:val="NormalWeb"/>
              <w:spacing w:before="0" w:beforeAutospacing="0" w:after="0" w:afterAutospacing="0"/>
              <w:jc w:val="both"/>
              <w:rPr>
                <w:sz w:val="20"/>
              </w:rPr>
            </w:pPr>
          </w:p>
          <w:p w:rsidR="000E26FC" w:rsidRDefault="000E26FC" w:rsidP="0068417B">
            <w:pPr>
              <w:pStyle w:val="Prrafodelista"/>
              <w:ind w:left="0"/>
              <w:jc w:val="both"/>
              <w:rPr>
                <w:rFonts w:ascii="Arial" w:hAnsi="Arial" w:cs="Arial"/>
                <w:b/>
                <w:color w:val="006666"/>
                <w:sz w:val="24"/>
                <w:highlight w:val="yellow"/>
                <w:u w:val="single"/>
              </w:rPr>
            </w:pPr>
          </w:p>
        </w:tc>
      </w:tr>
    </w:tbl>
    <w:p w:rsidR="00845510" w:rsidRPr="00992A0D" w:rsidRDefault="00845510" w:rsidP="00845510">
      <w:pPr>
        <w:jc w:val="both"/>
        <w:rPr>
          <w:rFonts w:ascii="Arial" w:hAnsi="Arial" w:cs="Arial"/>
        </w:rPr>
      </w:pPr>
    </w:p>
    <w:sectPr w:rsidR="00845510" w:rsidRPr="00992A0D" w:rsidSect="009205A5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8C3" w:rsidRDefault="005768C3" w:rsidP="00614838">
      <w:pPr>
        <w:spacing w:after="0" w:line="240" w:lineRule="auto"/>
      </w:pPr>
      <w:r>
        <w:separator/>
      </w:r>
    </w:p>
  </w:endnote>
  <w:endnote w:type="continuationSeparator" w:id="0">
    <w:p w:rsidR="005768C3" w:rsidRDefault="005768C3" w:rsidP="00614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Open Sans">
    <w:altName w:val="Verdana"/>
    <w:charset w:val="00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8BC" w:rsidRDefault="00A87F4C">
    <w:pPr>
      <w:pStyle w:val="Piedepgina"/>
      <w:jc w:val="right"/>
    </w:pPr>
    <w:r>
      <w:rPr>
        <w:noProof/>
        <w:lang w:eastAsia="es-MX"/>
      </w:rPr>
      <w:drawing>
        <wp:anchor distT="0" distB="0" distL="114300" distR="114300" simplePos="0" relativeHeight="251667456" behindDoc="1" locked="0" layoutInCell="1" allowOverlap="1" wp14:anchorId="1D9D5702" wp14:editId="381FAA57">
          <wp:simplePos x="0" y="0"/>
          <wp:positionH relativeFrom="margin">
            <wp:posOffset>-281305</wp:posOffset>
          </wp:positionH>
          <wp:positionV relativeFrom="paragraph">
            <wp:posOffset>100936</wp:posOffset>
          </wp:positionV>
          <wp:extent cx="6355023" cy="1059555"/>
          <wp:effectExtent l="0" t="0" r="0" b="762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5023" cy="1059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38BC" w:rsidRDefault="00CB38BC">
    <w:pPr>
      <w:pStyle w:val="Piedepgina"/>
      <w:jc w:val="right"/>
    </w:pPr>
  </w:p>
  <w:p w:rsidR="00CB38BC" w:rsidRDefault="005768C3">
    <w:pPr>
      <w:pStyle w:val="Piedepgina"/>
      <w:jc w:val="right"/>
    </w:pPr>
    <w:sdt>
      <w:sdtPr>
        <w:id w:val="-317575368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CB38BC">
              <w:rPr>
                <w:lang w:val="es-ES"/>
              </w:rPr>
              <w:t xml:space="preserve">Página </w:t>
            </w:r>
            <w:r w:rsidR="00CB38BC">
              <w:rPr>
                <w:b/>
                <w:bCs/>
                <w:sz w:val="24"/>
                <w:szCs w:val="24"/>
              </w:rPr>
              <w:fldChar w:fldCharType="begin"/>
            </w:r>
            <w:r w:rsidR="00CB38BC">
              <w:rPr>
                <w:b/>
                <w:bCs/>
              </w:rPr>
              <w:instrText>PAGE</w:instrText>
            </w:r>
            <w:r w:rsidR="00CB38BC">
              <w:rPr>
                <w:b/>
                <w:bCs/>
                <w:sz w:val="24"/>
                <w:szCs w:val="24"/>
              </w:rPr>
              <w:fldChar w:fldCharType="separate"/>
            </w:r>
            <w:r w:rsidR="00D161AC">
              <w:rPr>
                <w:b/>
                <w:bCs/>
                <w:noProof/>
              </w:rPr>
              <w:t>4</w:t>
            </w:r>
            <w:r w:rsidR="00CB38BC">
              <w:rPr>
                <w:b/>
                <w:bCs/>
                <w:sz w:val="24"/>
                <w:szCs w:val="24"/>
              </w:rPr>
              <w:fldChar w:fldCharType="end"/>
            </w:r>
            <w:r w:rsidR="00CB38BC">
              <w:rPr>
                <w:lang w:val="es-ES"/>
              </w:rPr>
              <w:t xml:space="preserve"> de </w:t>
            </w:r>
            <w:r w:rsidR="00CB38BC">
              <w:rPr>
                <w:b/>
                <w:bCs/>
                <w:sz w:val="24"/>
                <w:szCs w:val="24"/>
              </w:rPr>
              <w:fldChar w:fldCharType="begin"/>
            </w:r>
            <w:r w:rsidR="00CB38BC">
              <w:rPr>
                <w:b/>
                <w:bCs/>
              </w:rPr>
              <w:instrText>NUMPAGES</w:instrText>
            </w:r>
            <w:r w:rsidR="00CB38BC">
              <w:rPr>
                <w:b/>
                <w:bCs/>
                <w:sz w:val="24"/>
                <w:szCs w:val="24"/>
              </w:rPr>
              <w:fldChar w:fldCharType="separate"/>
            </w:r>
            <w:r w:rsidR="00D161AC">
              <w:rPr>
                <w:b/>
                <w:bCs/>
                <w:noProof/>
              </w:rPr>
              <w:t>5</w:t>
            </w:r>
            <w:r w:rsidR="00CB38BC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CB38BC" w:rsidRDefault="00CB38B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F4C" w:rsidRDefault="00A87F4C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5408" behindDoc="0" locked="0" layoutInCell="1" allowOverlap="1" wp14:anchorId="1D9D5702" wp14:editId="381FAA57">
          <wp:simplePos x="0" y="0"/>
          <wp:positionH relativeFrom="margin">
            <wp:posOffset>-141605</wp:posOffset>
          </wp:positionH>
          <wp:positionV relativeFrom="paragraph">
            <wp:posOffset>-414020</wp:posOffset>
          </wp:positionV>
          <wp:extent cx="6355023" cy="1059555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5023" cy="1059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8C3" w:rsidRDefault="005768C3" w:rsidP="00614838">
      <w:pPr>
        <w:spacing w:after="0" w:line="240" w:lineRule="auto"/>
      </w:pPr>
      <w:r>
        <w:separator/>
      </w:r>
    </w:p>
  </w:footnote>
  <w:footnote w:type="continuationSeparator" w:id="0">
    <w:p w:rsidR="005768C3" w:rsidRDefault="005768C3" w:rsidP="00614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F4C" w:rsidRDefault="00A87F4C">
    <w:pPr>
      <w:pStyle w:val="Encabezado"/>
    </w:pPr>
  </w:p>
  <w:p w:rsidR="00CB38BC" w:rsidRDefault="00A87F4C">
    <w:pPr>
      <w:pStyle w:val="Encabezado"/>
    </w:pPr>
    <w:r>
      <w:rPr>
        <w:rFonts w:ascii="Open Sans" w:eastAsia="Times New Roman" w:hAnsi="Open Sans" w:cs="Open Sans"/>
        <w:noProof/>
        <w:color w:val="000000"/>
        <w:sz w:val="21"/>
        <w:szCs w:val="21"/>
        <w:lang w:eastAsia="es-MX"/>
      </w:rPr>
      <w:drawing>
        <wp:anchor distT="0" distB="0" distL="114300" distR="114300" simplePos="0" relativeHeight="251669504" behindDoc="0" locked="0" layoutInCell="1" allowOverlap="1" wp14:anchorId="0EFC910C" wp14:editId="0A5530F6">
          <wp:simplePos x="0" y="0"/>
          <wp:positionH relativeFrom="margin">
            <wp:posOffset>-278108</wp:posOffset>
          </wp:positionH>
          <wp:positionV relativeFrom="paragraph">
            <wp:posOffset>-389378</wp:posOffset>
          </wp:positionV>
          <wp:extent cx="6355023" cy="1059555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5023" cy="1059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38BC" w:rsidRDefault="00CB38BC">
    <w:pPr>
      <w:pStyle w:val="Encabezado"/>
    </w:pPr>
  </w:p>
  <w:p w:rsidR="00CB38BC" w:rsidRDefault="00CB38BC">
    <w:pPr>
      <w:pStyle w:val="Encabezado"/>
    </w:pPr>
  </w:p>
  <w:p w:rsidR="00CB38BC" w:rsidRDefault="00CB38B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8BC" w:rsidRDefault="00A87F4C">
    <w:pPr>
      <w:pStyle w:val="Encabezado"/>
    </w:pPr>
    <w:r>
      <w:rPr>
        <w:rFonts w:ascii="Open Sans" w:eastAsia="Times New Roman" w:hAnsi="Open Sans" w:cs="Open Sans"/>
        <w:noProof/>
        <w:color w:val="000000"/>
        <w:sz w:val="21"/>
        <w:szCs w:val="21"/>
        <w:lang w:eastAsia="es-MX"/>
      </w:rPr>
      <w:drawing>
        <wp:anchor distT="0" distB="0" distL="114300" distR="114300" simplePos="0" relativeHeight="251663360" behindDoc="0" locked="0" layoutInCell="1" allowOverlap="1" wp14:anchorId="03C946CD" wp14:editId="5BADE663">
          <wp:simplePos x="0" y="0"/>
          <wp:positionH relativeFrom="margin">
            <wp:posOffset>-600075</wp:posOffset>
          </wp:positionH>
          <wp:positionV relativeFrom="paragraph">
            <wp:posOffset>-175895</wp:posOffset>
          </wp:positionV>
          <wp:extent cx="6355023" cy="1059555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5023" cy="1059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38BC" w:rsidRDefault="00CB38BC">
    <w:pPr>
      <w:pStyle w:val="Encabezado"/>
    </w:pPr>
  </w:p>
  <w:p w:rsidR="00CB38BC" w:rsidRDefault="00CB38BC">
    <w:pPr>
      <w:pStyle w:val="Encabezado"/>
    </w:pPr>
  </w:p>
  <w:p w:rsidR="00CB38BC" w:rsidRDefault="00CB38BC">
    <w:pPr>
      <w:pStyle w:val="Encabezado"/>
    </w:pPr>
  </w:p>
  <w:p w:rsidR="00CB38BC" w:rsidRDefault="00CB38B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D1F2E"/>
    <w:multiLevelType w:val="hybridMultilevel"/>
    <w:tmpl w:val="4E10296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F5F7C"/>
    <w:multiLevelType w:val="hybridMultilevel"/>
    <w:tmpl w:val="C00E9468"/>
    <w:lvl w:ilvl="0" w:tplc="85A2154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579F3"/>
    <w:multiLevelType w:val="hybridMultilevel"/>
    <w:tmpl w:val="4D0ADA60"/>
    <w:lvl w:ilvl="0" w:tplc="509AB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C5C11"/>
    <w:multiLevelType w:val="hybridMultilevel"/>
    <w:tmpl w:val="4C001F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D543A"/>
    <w:multiLevelType w:val="hybridMultilevel"/>
    <w:tmpl w:val="154447FC"/>
    <w:lvl w:ilvl="0" w:tplc="509AB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229F7"/>
    <w:multiLevelType w:val="hybridMultilevel"/>
    <w:tmpl w:val="11D2101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6D02F1"/>
    <w:multiLevelType w:val="hybridMultilevel"/>
    <w:tmpl w:val="15966C26"/>
    <w:lvl w:ilvl="0" w:tplc="85A2154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7A7DE8"/>
    <w:multiLevelType w:val="hybridMultilevel"/>
    <w:tmpl w:val="EA80D4F4"/>
    <w:lvl w:ilvl="0" w:tplc="1878325C">
      <w:start w:val="1"/>
      <w:numFmt w:val="bullet"/>
      <w:lvlText w:val=""/>
      <w:lvlJc w:val="left"/>
      <w:pPr>
        <w:ind w:left="502" w:hanging="360"/>
      </w:pPr>
      <w:rPr>
        <w:rFonts w:ascii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40F29"/>
    <w:multiLevelType w:val="hybridMultilevel"/>
    <w:tmpl w:val="8C2A8842"/>
    <w:lvl w:ilvl="0" w:tplc="A8485F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82702C"/>
    <w:multiLevelType w:val="hybridMultilevel"/>
    <w:tmpl w:val="4C001F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982DBA"/>
    <w:multiLevelType w:val="hybridMultilevel"/>
    <w:tmpl w:val="06AC78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CE4054"/>
    <w:multiLevelType w:val="hybridMultilevel"/>
    <w:tmpl w:val="33B8A1EA"/>
    <w:lvl w:ilvl="0" w:tplc="1878325C">
      <w:start w:val="1"/>
      <w:numFmt w:val="bullet"/>
      <w:lvlText w:val=""/>
      <w:lvlJc w:val="left"/>
      <w:pPr>
        <w:ind w:left="502" w:hanging="360"/>
      </w:pPr>
      <w:rPr>
        <w:rFonts w:ascii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22362AB7"/>
    <w:multiLevelType w:val="hybridMultilevel"/>
    <w:tmpl w:val="BFDA90F4"/>
    <w:lvl w:ilvl="0" w:tplc="509AB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3A4FB0"/>
    <w:multiLevelType w:val="hybridMultilevel"/>
    <w:tmpl w:val="BBA08632"/>
    <w:lvl w:ilvl="0" w:tplc="898671D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E3600D"/>
    <w:multiLevelType w:val="hybridMultilevel"/>
    <w:tmpl w:val="4060F08E"/>
    <w:lvl w:ilvl="0" w:tplc="85A2154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1C45B0"/>
    <w:multiLevelType w:val="hybridMultilevel"/>
    <w:tmpl w:val="7ED0719E"/>
    <w:lvl w:ilvl="0" w:tplc="A8485F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C848F5"/>
    <w:multiLevelType w:val="hybridMultilevel"/>
    <w:tmpl w:val="9EB89194"/>
    <w:lvl w:ilvl="0" w:tplc="067E60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7B24CB"/>
    <w:multiLevelType w:val="hybridMultilevel"/>
    <w:tmpl w:val="8AF6969E"/>
    <w:lvl w:ilvl="0" w:tplc="BBCC18A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C51DAF"/>
    <w:multiLevelType w:val="hybridMultilevel"/>
    <w:tmpl w:val="B3DA22A2"/>
    <w:lvl w:ilvl="0" w:tplc="509AB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DF0464"/>
    <w:multiLevelType w:val="hybridMultilevel"/>
    <w:tmpl w:val="78A4B57A"/>
    <w:lvl w:ilvl="0" w:tplc="6122B85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1E3091"/>
    <w:multiLevelType w:val="hybridMultilevel"/>
    <w:tmpl w:val="960262EA"/>
    <w:lvl w:ilvl="0" w:tplc="85A2154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AA455C"/>
    <w:multiLevelType w:val="hybridMultilevel"/>
    <w:tmpl w:val="3AC4FFE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A555A2"/>
    <w:multiLevelType w:val="hybridMultilevel"/>
    <w:tmpl w:val="00CCE2EE"/>
    <w:lvl w:ilvl="0" w:tplc="509AB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21202C"/>
    <w:multiLevelType w:val="hybridMultilevel"/>
    <w:tmpl w:val="4C001F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37657C"/>
    <w:multiLevelType w:val="hybridMultilevel"/>
    <w:tmpl w:val="83FAB70E"/>
    <w:lvl w:ilvl="0" w:tplc="76DE989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163CED"/>
    <w:multiLevelType w:val="hybridMultilevel"/>
    <w:tmpl w:val="2B3891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EB699C"/>
    <w:multiLevelType w:val="hybridMultilevel"/>
    <w:tmpl w:val="2452D2EA"/>
    <w:lvl w:ilvl="0" w:tplc="9C969E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0B65F3"/>
    <w:multiLevelType w:val="hybridMultilevel"/>
    <w:tmpl w:val="117040FE"/>
    <w:lvl w:ilvl="0" w:tplc="067E60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1D0F42"/>
    <w:multiLevelType w:val="hybridMultilevel"/>
    <w:tmpl w:val="FABE134C"/>
    <w:lvl w:ilvl="0" w:tplc="85A2154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5F70EF"/>
    <w:multiLevelType w:val="hybridMultilevel"/>
    <w:tmpl w:val="83C473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775F0B"/>
    <w:multiLevelType w:val="hybridMultilevel"/>
    <w:tmpl w:val="1F60F456"/>
    <w:lvl w:ilvl="0" w:tplc="4BF8FE2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55554D"/>
    <w:multiLevelType w:val="hybridMultilevel"/>
    <w:tmpl w:val="6AACD97C"/>
    <w:lvl w:ilvl="0" w:tplc="509AB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6A5BB2"/>
    <w:multiLevelType w:val="hybridMultilevel"/>
    <w:tmpl w:val="17C8BDDA"/>
    <w:lvl w:ilvl="0" w:tplc="509AB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3675A2"/>
    <w:multiLevelType w:val="hybridMultilevel"/>
    <w:tmpl w:val="4A34222C"/>
    <w:lvl w:ilvl="0" w:tplc="067E60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D71B7A"/>
    <w:multiLevelType w:val="hybridMultilevel"/>
    <w:tmpl w:val="BC348622"/>
    <w:lvl w:ilvl="0" w:tplc="85A2154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3DA2937"/>
    <w:multiLevelType w:val="hybridMultilevel"/>
    <w:tmpl w:val="4C001F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E672D1"/>
    <w:multiLevelType w:val="hybridMultilevel"/>
    <w:tmpl w:val="6C825152"/>
    <w:lvl w:ilvl="0" w:tplc="A8485F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2C7E6D"/>
    <w:multiLevelType w:val="hybridMultilevel"/>
    <w:tmpl w:val="DCB6B320"/>
    <w:lvl w:ilvl="0" w:tplc="861678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9E26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D625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24A0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8C01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1CC3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0E5F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664F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364B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 w15:restartNumberingAfterBreak="0">
    <w:nsid w:val="5C091599"/>
    <w:multiLevelType w:val="hybridMultilevel"/>
    <w:tmpl w:val="A6906632"/>
    <w:lvl w:ilvl="0" w:tplc="509AB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672C40"/>
    <w:multiLevelType w:val="hybridMultilevel"/>
    <w:tmpl w:val="C3BEC2A8"/>
    <w:lvl w:ilvl="0" w:tplc="509AB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3D1E52"/>
    <w:multiLevelType w:val="hybridMultilevel"/>
    <w:tmpl w:val="BF4C3D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5C02D9"/>
    <w:multiLevelType w:val="hybridMultilevel"/>
    <w:tmpl w:val="C812DC20"/>
    <w:lvl w:ilvl="0" w:tplc="EA52F52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55238E0"/>
    <w:multiLevelType w:val="hybridMultilevel"/>
    <w:tmpl w:val="58F4F70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886320C"/>
    <w:multiLevelType w:val="hybridMultilevel"/>
    <w:tmpl w:val="56FC6B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4E36B4"/>
    <w:multiLevelType w:val="hybridMultilevel"/>
    <w:tmpl w:val="957AF57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8F0E05"/>
    <w:multiLevelType w:val="hybridMultilevel"/>
    <w:tmpl w:val="148C91EC"/>
    <w:lvl w:ilvl="0" w:tplc="509AB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ED5DB1"/>
    <w:multiLevelType w:val="hybridMultilevel"/>
    <w:tmpl w:val="1D246ABC"/>
    <w:lvl w:ilvl="0" w:tplc="A8485F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F274B2"/>
    <w:multiLevelType w:val="hybridMultilevel"/>
    <w:tmpl w:val="234A3D68"/>
    <w:lvl w:ilvl="0" w:tplc="509AB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010F55"/>
    <w:multiLevelType w:val="hybridMultilevel"/>
    <w:tmpl w:val="3732FA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066589"/>
    <w:multiLevelType w:val="hybridMultilevel"/>
    <w:tmpl w:val="D12E7DAC"/>
    <w:lvl w:ilvl="0" w:tplc="067E60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9"/>
  </w:num>
  <w:num w:numId="3">
    <w:abstractNumId w:val="21"/>
  </w:num>
  <w:num w:numId="4">
    <w:abstractNumId w:val="45"/>
  </w:num>
  <w:num w:numId="5">
    <w:abstractNumId w:val="26"/>
  </w:num>
  <w:num w:numId="6">
    <w:abstractNumId w:val="49"/>
  </w:num>
  <w:num w:numId="7">
    <w:abstractNumId w:val="9"/>
  </w:num>
  <w:num w:numId="8">
    <w:abstractNumId w:val="3"/>
  </w:num>
  <w:num w:numId="9">
    <w:abstractNumId w:val="0"/>
  </w:num>
  <w:num w:numId="10">
    <w:abstractNumId w:val="11"/>
  </w:num>
  <w:num w:numId="11">
    <w:abstractNumId w:val="7"/>
  </w:num>
  <w:num w:numId="12">
    <w:abstractNumId w:val="43"/>
  </w:num>
  <w:num w:numId="13">
    <w:abstractNumId w:val="23"/>
  </w:num>
  <w:num w:numId="14">
    <w:abstractNumId w:val="17"/>
  </w:num>
  <w:num w:numId="15">
    <w:abstractNumId w:val="35"/>
  </w:num>
  <w:num w:numId="16">
    <w:abstractNumId w:val="30"/>
  </w:num>
  <w:num w:numId="17">
    <w:abstractNumId w:val="24"/>
  </w:num>
  <w:num w:numId="18">
    <w:abstractNumId w:val="20"/>
  </w:num>
  <w:num w:numId="19">
    <w:abstractNumId w:val="13"/>
  </w:num>
  <w:num w:numId="20">
    <w:abstractNumId w:val="19"/>
  </w:num>
  <w:num w:numId="21">
    <w:abstractNumId w:val="41"/>
  </w:num>
  <w:num w:numId="22">
    <w:abstractNumId w:val="31"/>
  </w:num>
  <w:num w:numId="23">
    <w:abstractNumId w:val="12"/>
  </w:num>
  <w:num w:numId="24">
    <w:abstractNumId w:val="37"/>
  </w:num>
  <w:num w:numId="25">
    <w:abstractNumId w:val="4"/>
  </w:num>
  <w:num w:numId="26">
    <w:abstractNumId w:val="29"/>
  </w:num>
  <w:num w:numId="27">
    <w:abstractNumId w:val="10"/>
  </w:num>
  <w:num w:numId="28">
    <w:abstractNumId w:val="25"/>
  </w:num>
  <w:num w:numId="29">
    <w:abstractNumId w:val="27"/>
  </w:num>
  <w:num w:numId="30">
    <w:abstractNumId w:val="16"/>
  </w:num>
  <w:num w:numId="31">
    <w:abstractNumId w:val="33"/>
  </w:num>
  <w:num w:numId="32">
    <w:abstractNumId w:val="28"/>
  </w:num>
  <w:num w:numId="33">
    <w:abstractNumId w:val="14"/>
  </w:num>
  <w:num w:numId="34">
    <w:abstractNumId w:val="34"/>
  </w:num>
  <w:num w:numId="35">
    <w:abstractNumId w:val="6"/>
  </w:num>
  <w:num w:numId="36">
    <w:abstractNumId w:val="1"/>
  </w:num>
  <w:num w:numId="37">
    <w:abstractNumId w:val="44"/>
  </w:num>
  <w:num w:numId="38">
    <w:abstractNumId w:val="40"/>
  </w:num>
  <w:num w:numId="39">
    <w:abstractNumId w:val="48"/>
  </w:num>
  <w:num w:numId="40">
    <w:abstractNumId w:val="5"/>
  </w:num>
  <w:num w:numId="41">
    <w:abstractNumId w:val="36"/>
  </w:num>
  <w:num w:numId="42">
    <w:abstractNumId w:val="2"/>
  </w:num>
  <w:num w:numId="43">
    <w:abstractNumId w:val="32"/>
  </w:num>
  <w:num w:numId="44">
    <w:abstractNumId w:val="22"/>
  </w:num>
  <w:num w:numId="45">
    <w:abstractNumId w:val="38"/>
  </w:num>
  <w:num w:numId="46">
    <w:abstractNumId w:val="46"/>
  </w:num>
  <w:num w:numId="47">
    <w:abstractNumId w:val="8"/>
  </w:num>
  <w:num w:numId="48">
    <w:abstractNumId w:val="15"/>
  </w:num>
  <w:num w:numId="49">
    <w:abstractNumId w:val="18"/>
  </w:num>
  <w:num w:numId="50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510"/>
    <w:rsid w:val="000009A6"/>
    <w:rsid w:val="00005DE5"/>
    <w:rsid w:val="00012282"/>
    <w:rsid w:val="000209A2"/>
    <w:rsid w:val="00023F3D"/>
    <w:rsid w:val="00044F82"/>
    <w:rsid w:val="00045B4A"/>
    <w:rsid w:val="00051E7C"/>
    <w:rsid w:val="00061AA0"/>
    <w:rsid w:val="00061E47"/>
    <w:rsid w:val="00070D93"/>
    <w:rsid w:val="00073B1F"/>
    <w:rsid w:val="00082E9D"/>
    <w:rsid w:val="00091981"/>
    <w:rsid w:val="00097C91"/>
    <w:rsid w:val="000A15B7"/>
    <w:rsid w:val="000B3652"/>
    <w:rsid w:val="000B39E5"/>
    <w:rsid w:val="000C333F"/>
    <w:rsid w:val="000C631F"/>
    <w:rsid w:val="000D3A1C"/>
    <w:rsid w:val="000E0FF0"/>
    <w:rsid w:val="000E11FD"/>
    <w:rsid w:val="000E26FC"/>
    <w:rsid w:val="000E36D1"/>
    <w:rsid w:val="000E3BE8"/>
    <w:rsid w:val="000F1E94"/>
    <w:rsid w:val="00104EA8"/>
    <w:rsid w:val="00112699"/>
    <w:rsid w:val="00125340"/>
    <w:rsid w:val="00144215"/>
    <w:rsid w:val="00146012"/>
    <w:rsid w:val="001649ED"/>
    <w:rsid w:val="00164FBB"/>
    <w:rsid w:val="001716D9"/>
    <w:rsid w:val="001763AE"/>
    <w:rsid w:val="0018206B"/>
    <w:rsid w:val="00190128"/>
    <w:rsid w:val="001908F0"/>
    <w:rsid w:val="00190A4B"/>
    <w:rsid w:val="00192CB8"/>
    <w:rsid w:val="00197AE7"/>
    <w:rsid w:val="001A6DBB"/>
    <w:rsid w:val="001A6E5E"/>
    <w:rsid w:val="001C4DC2"/>
    <w:rsid w:val="001C6329"/>
    <w:rsid w:val="001D1726"/>
    <w:rsid w:val="001D4726"/>
    <w:rsid w:val="001E6AB0"/>
    <w:rsid w:val="001F169D"/>
    <w:rsid w:val="001F3AF7"/>
    <w:rsid w:val="0021132B"/>
    <w:rsid w:val="00212D12"/>
    <w:rsid w:val="00214236"/>
    <w:rsid w:val="00222B03"/>
    <w:rsid w:val="0022327E"/>
    <w:rsid w:val="00223F2E"/>
    <w:rsid w:val="0023171D"/>
    <w:rsid w:val="00232606"/>
    <w:rsid w:val="00232CED"/>
    <w:rsid w:val="00233AC5"/>
    <w:rsid w:val="00242B5C"/>
    <w:rsid w:val="00260276"/>
    <w:rsid w:val="002821A3"/>
    <w:rsid w:val="002904B4"/>
    <w:rsid w:val="00290CE1"/>
    <w:rsid w:val="00291B3B"/>
    <w:rsid w:val="002924B7"/>
    <w:rsid w:val="002936BE"/>
    <w:rsid w:val="00294DA6"/>
    <w:rsid w:val="002C0467"/>
    <w:rsid w:val="002C4D66"/>
    <w:rsid w:val="002C6956"/>
    <w:rsid w:val="002D79A4"/>
    <w:rsid w:val="002E4CAE"/>
    <w:rsid w:val="002E58FB"/>
    <w:rsid w:val="002F1BFB"/>
    <w:rsid w:val="002F1CD0"/>
    <w:rsid w:val="002F3C9B"/>
    <w:rsid w:val="00315977"/>
    <w:rsid w:val="00324DFC"/>
    <w:rsid w:val="00335D86"/>
    <w:rsid w:val="00337939"/>
    <w:rsid w:val="003421DD"/>
    <w:rsid w:val="003519D7"/>
    <w:rsid w:val="00360F62"/>
    <w:rsid w:val="003619EB"/>
    <w:rsid w:val="0036793B"/>
    <w:rsid w:val="003707D8"/>
    <w:rsid w:val="00377DA5"/>
    <w:rsid w:val="00380C7D"/>
    <w:rsid w:val="00384AF1"/>
    <w:rsid w:val="0038579D"/>
    <w:rsid w:val="0039393A"/>
    <w:rsid w:val="00393C57"/>
    <w:rsid w:val="003A69FE"/>
    <w:rsid w:val="003B65FD"/>
    <w:rsid w:val="003C2FBB"/>
    <w:rsid w:val="003D0AAE"/>
    <w:rsid w:val="003E7085"/>
    <w:rsid w:val="003F3F96"/>
    <w:rsid w:val="00402547"/>
    <w:rsid w:val="00422707"/>
    <w:rsid w:val="004329F9"/>
    <w:rsid w:val="004341F7"/>
    <w:rsid w:val="00444937"/>
    <w:rsid w:val="00446BAA"/>
    <w:rsid w:val="004471F6"/>
    <w:rsid w:val="00473022"/>
    <w:rsid w:val="00480D28"/>
    <w:rsid w:val="004852EB"/>
    <w:rsid w:val="0049285D"/>
    <w:rsid w:val="0049583B"/>
    <w:rsid w:val="004C15B9"/>
    <w:rsid w:val="004D7065"/>
    <w:rsid w:val="004E558A"/>
    <w:rsid w:val="004E7B58"/>
    <w:rsid w:val="00514B55"/>
    <w:rsid w:val="005251A5"/>
    <w:rsid w:val="0054157D"/>
    <w:rsid w:val="00541A2E"/>
    <w:rsid w:val="00541C4C"/>
    <w:rsid w:val="0054232C"/>
    <w:rsid w:val="005424F9"/>
    <w:rsid w:val="00542F3E"/>
    <w:rsid w:val="005442C2"/>
    <w:rsid w:val="00566D50"/>
    <w:rsid w:val="005768C3"/>
    <w:rsid w:val="00577778"/>
    <w:rsid w:val="0058684D"/>
    <w:rsid w:val="00591429"/>
    <w:rsid w:val="005944CC"/>
    <w:rsid w:val="005A07C0"/>
    <w:rsid w:val="005B0F06"/>
    <w:rsid w:val="005B75D9"/>
    <w:rsid w:val="005B78ED"/>
    <w:rsid w:val="005D5B16"/>
    <w:rsid w:val="005E1E2A"/>
    <w:rsid w:val="005E3FA9"/>
    <w:rsid w:val="005E56FA"/>
    <w:rsid w:val="005F155B"/>
    <w:rsid w:val="005F4431"/>
    <w:rsid w:val="00602CDD"/>
    <w:rsid w:val="00614838"/>
    <w:rsid w:val="0062124E"/>
    <w:rsid w:val="00635723"/>
    <w:rsid w:val="00660116"/>
    <w:rsid w:val="006615D6"/>
    <w:rsid w:val="0066429B"/>
    <w:rsid w:val="00670ECD"/>
    <w:rsid w:val="00673FEB"/>
    <w:rsid w:val="00683F67"/>
    <w:rsid w:val="0068417B"/>
    <w:rsid w:val="00686602"/>
    <w:rsid w:val="00690BA8"/>
    <w:rsid w:val="00694F8F"/>
    <w:rsid w:val="006A2B20"/>
    <w:rsid w:val="006A4299"/>
    <w:rsid w:val="006A6335"/>
    <w:rsid w:val="006A715A"/>
    <w:rsid w:val="006B4EDE"/>
    <w:rsid w:val="006C332E"/>
    <w:rsid w:val="006D688E"/>
    <w:rsid w:val="006F1347"/>
    <w:rsid w:val="006F1427"/>
    <w:rsid w:val="006F3898"/>
    <w:rsid w:val="006F7A07"/>
    <w:rsid w:val="00711472"/>
    <w:rsid w:val="00712FA4"/>
    <w:rsid w:val="00712FD2"/>
    <w:rsid w:val="00715E9D"/>
    <w:rsid w:val="00742638"/>
    <w:rsid w:val="007429EE"/>
    <w:rsid w:val="0075038E"/>
    <w:rsid w:val="00754C9D"/>
    <w:rsid w:val="007610E6"/>
    <w:rsid w:val="00767180"/>
    <w:rsid w:val="00772DD2"/>
    <w:rsid w:val="00773C8F"/>
    <w:rsid w:val="00775FD9"/>
    <w:rsid w:val="007761D1"/>
    <w:rsid w:val="00787911"/>
    <w:rsid w:val="007948F3"/>
    <w:rsid w:val="007A0A05"/>
    <w:rsid w:val="007A52DE"/>
    <w:rsid w:val="007A62B6"/>
    <w:rsid w:val="007A68A1"/>
    <w:rsid w:val="007B326A"/>
    <w:rsid w:val="007B669E"/>
    <w:rsid w:val="007B6805"/>
    <w:rsid w:val="007C421E"/>
    <w:rsid w:val="007D613D"/>
    <w:rsid w:val="007E495A"/>
    <w:rsid w:val="007E64CD"/>
    <w:rsid w:val="007F04B1"/>
    <w:rsid w:val="007F1708"/>
    <w:rsid w:val="007F5A24"/>
    <w:rsid w:val="007F5CFA"/>
    <w:rsid w:val="007F6535"/>
    <w:rsid w:val="008118C7"/>
    <w:rsid w:val="00816C82"/>
    <w:rsid w:val="00816E77"/>
    <w:rsid w:val="00821C1C"/>
    <w:rsid w:val="008302AF"/>
    <w:rsid w:val="0083113D"/>
    <w:rsid w:val="008351EB"/>
    <w:rsid w:val="008428F7"/>
    <w:rsid w:val="00845510"/>
    <w:rsid w:val="0085097E"/>
    <w:rsid w:val="008613AC"/>
    <w:rsid w:val="00863F4D"/>
    <w:rsid w:val="00871E73"/>
    <w:rsid w:val="00875D4B"/>
    <w:rsid w:val="0087707A"/>
    <w:rsid w:val="00887A55"/>
    <w:rsid w:val="0089609B"/>
    <w:rsid w:val="008A0FEE"/>
    <w:rsid w:val="008B630E"/>
    <w:rsid w:val="008B65A0"/>
    <w:rsid w:val="008C6CC2"/>
    <w:rsid w:val="008D154E"/>
    <w:rsid w:val="009171BC"/>
    <w:rsid w:val="00917846"/>
    <w:rsid w:val="009205A5"/>
    <w:rsid w:val="00921BEB"/>
    <w:rsid w:val="00926B6D"/>
    <w:rsid w:val="00932551"/>
    <w:rsid w:val="00933849"/>
    <w:rsid w:val="00942212"/>
    <w:rsid w:val="00945014"/>
    <w:rsid w:val="00950B3B"/>
    <w:rsid w:val="00964996"/>
    <w:rsid w:val="009650BA"/>
    <w:rsid w:val="00975D3E"/>
    <w:rsid w:val="00992A0D"/>
    <w:rsid w:val="009A6BAE"/>
    <w:rsid w:val="009E27B6"/>
    <w:rsid w:val="009E2E91"/>
    <w:rsid w:val="009E7CB7"/>
    <w:rsid w:val="009F5071"/>
    <w:rsid w:val="00A0059C"/>
    <w:rsid w:val="00A03BE4"/>
    <w:rsid w:val="00A20137"/>
    <w:rsid w:val="00A462B8"/>
    <w:rsid w:val="00A52CF2"/>
    <w:rsid w:val="00A544A5"/>
    <w:rsid w:val="00A63B46"/>
    <w:rsid w:val="00A668F6"/>
    <w:rsid w:val="00A80921"/>
    <w:rsid w:val="00A81DEA"/>
    <w:rsid w:val="00A87F4C"/>
    <w:rsid w:val="00AA713D"/>
    <w:rsid w:val="00AB2A58"/>
    <w:rsid w:val="00AB43DD"/>
    <w:rsid w:val="00AB511C"/>
    <w:rsid w:val="00AC0537"/>
    <w:rsid w:val="00AD0A08"/>
    <w:rsid w:val="00AD555C"/>
    <w:rsid w:val="00AD55D9"/>
    <w:rsid w:val="00AD7A32"/>
    <w:rsid w:val="00AE54B1"/>
    <w:rsid w:val="00AE6C4B"/>
    <w:rsid w:val="00AF1C75"/>
    <w:rsid w:val="00AF77CD"/>
    <w:rsid w:val="00B00B73"/>
    <w:rsid w:val="00B037CB"/>
    <w:rsid w:val="00B07066"/>
    <w:rsid w:val="00B11C0A"/>
    <w:rsid w:val="00B16A5F"/>
    <w:rsid w:val="00B209D0"/>
    <w:rsid w:val="00B300D2"/>
    <w:rsid w:val="00B31B8F"/>
    <w:rsid w:val="00B3664E"/>
    <w:rsid w:val="00B520D3"/>
    <w:rsid w:val="00B57F13"/>
    <w:rsid w:val="00B629E5"/>
    <w:rsid w:val="00B6441C"/>
    <w:rsid w:val="00B67350"/>
    <w:rsid w:val="00B67DEB"/>
    <w:rsid w:val="00B733CD"/>
    <w:rsid w:val="00B8025A"/>
    <w:rsid w:val="00B83ACB"/>
    <w:rsid w:val="00B863A1"/>
    <w:rsid w:val="00B868B2"/>
    <w:rsid w:val="00B87ED7"/>
    <w:rsid w:val="00B91726"/>
    <w:rsid w:val="00B91971"/>
    <w:rsid w:val="00BA018C"/>
    <w:rsid w:val="00BA2043"/>
    <w:rsid w:val="00BA2146"/>
    <w:rsid w:val="00BA4CDC"/>
    <w:rsid w:val="00BB54D2"/>
    <w:rsid w:val="00BC02D5"/>
    <w:rsid w:val="00BC32CE"/>
    <w:rsid w:val="00BE73C2"/>
    <w:rsid w:val="00C20E5D"/>
    <w:rsid w:val="00C25007"/>
    <w:rsid w:val="00C3029D"/>
    <w:rsid w:val="00C34B60"/>
    <w:rsid w:val="00C442C1"/>
    <w:rsid w:val="00C45218"/>
    <w:rsid w:val="00C50AEF"/>
    <w:rsid w:val="00C5283F"/>
    <w:rsid w:val="00C73112"/>
    <w:rsid w:val="00C732D5"/>
    <w:rsid w:val="00C80738"/>
    <w:rsid w:val="00C8203F"/>
    <w:rsid w:val="00CA5294"/>
    <w:rsid w:val="00CA7743"/>
    <w:rsid w:val="00CB38BC"/>
    <w:rsid w:val="00CB5198"/>
    <w:rsid w:val="00CC73FF"/>
    <w:rsid w:val="00CD31F1"/>
    <w:rsid w:val="00CD5087"/>
    <w:rsid w:val="00CE0720"/>
    <w:rsid w:val="00CE1B16"/>
    <w:rsid w:val="00CE1B72"/>
    <w:rsid w:val="00CE2550"/>
    <w:rsid w:val="00CE2A87"/>
    <w:rsid w:val="00CE422F"/>
    <w:rsid w:val="00CF63CA"/>
    <w:rsid w:val="00D161AC"/>
    <w:rsid w:val="00D2000E"/>
    <w:rsid w:val="00D55A48"/>
    <w:rsid w:val="00D66B6E"/>
    <w:rsid w:val="00D74015"/>
    <w:rsid w:val="00D9418C"/>
    <w:rsid w:val="00DA53A0"/>
    <w:rsid w:val="00DA578F"/>
    <w:rsid w:val="00DA7884"/>
    <w:rsid w:val="00DB3477"/>
    <w:rsid w:val="00DC3FC3"/>
    <w:rsid w:val="00DE146F"/>
    <w:rsid w:val="00DE2011"/>
    <w:rsid w:val="00DE2C99"/>
    <w:rsid w:val="00DF19A7"/>
    <w:rsid w:val="00DF6238"/>
    <w:rsid w:val="00DF761F"/>
    <w:rsid w:val="00E0365F"/>
    <w:rsid w:val="00E0382D"/>
    <w:rsid w:val="00E26064"/>
    <w:rsid w:val="00E342EA"/>
    <w:rsid w:val="00E34580"/>
    <w:rsid w:val="00E37196"/>
    <w:rsid w:val="00E44EA7"/>
    <w:rsid w:val="00E45717"/>
    <w:rsid w:val="00E756FC"/>
    <w:rsid w:val="00E8149E"/>
    <w:rsid w:val="00E90BB6"/>
    <w:rsid w:val="00E90E14"/>
    <w:rsid w:val="00EA5C67"/>
    <w:rsid w:val="00EA7957"/>
    <w:rsid w:val="00EA7B52"/>
    <w:rsid w:val="00EB00E6"/>
    <w:rsid w:val="00EC4ECE"/>
    <w:rsid w:val="00EC5183"/>
    <w:rsid w:val="00ED7221"/>
    <w:rsid w:val="00EE1DA0"/>
    <w:rsid w:val="00EE6CBF"/>
    <w:rsid w:val="00EF58AE"/>
    <w:rsid w:val="00F25BDD"/>
    <w:rsid w:val="00F268C1"/>
    <w:rsid w:val="00F3007F"/>
    <w:rsid w:val="00F37D9C"/>
    <w:rsid w:val="00F37FBA"/>
    <w:rsid w:val="00F71540"/>
    <w:rsid w:val="00F71F20"/>
    <w:rsid w:val="00F73941"/>
    <w:rsid w:val="00F75125"/>
    <w:rsid w:val="00F866AB"/>
    <w:rsid w:val="00FC25E2"/>
    <w:rsid w:val="00FE553C"/>
    <w:rsid w:val="00FE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9C813CC-4002-4A1B-9A77-DFB31AFAC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D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845510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45510"/>
    <w:rPr>
      <w:rFonts w:eastAsiaTheme="minorEastAsia"/>
      <w:lang w:eastAsia="es-MX"/>
    </w:rPr>
  </w:style>
  <w:style w:type="paragraph" w:styleId="Prrafodelista">
    <w:name w:val="List Paragraph"/>
    <w:basedOn w:val="Normal"/>
    <w:uiPriority w:val="34"/>
    <w:qFormat/>
    <w:rsid w:val="00C732D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148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4838"/>
  </w:style>
  <w:style w:type="paragraph" w:styleId="Piedepgina">
    <w:name w:val="footer"/>
    <w:basedOn w:val="Normal"/>
    <w:link w:val="PiedepginaCar"/>
    <w:uiPriority w:val="99"/>
    <w:unhideWhenUsed/>
    <w:rsid w:val="006148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4838"/>
  </w:style>
  <w:style w:type="table" w:styleId="Tablaconcuadrcula">
    <w:name w:val="Table Grid"/>
    <w:basedOn w:val="Tablanormal"/>
    <w:uiPriority w:val="39"/>
    <w:rsid w:val="00754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F3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328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520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63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579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0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82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3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F44C0238B7048B0B151280EB8B31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8C7FB-F097-4478-B311-652426F9AA5C}"/>
      </w:docPartPr>
      <w:docPartBody>
        <w:p w:rsidR="00E37F45" w:rsidRDefault="00542D64" w:rsidP="00542D64">
          <w:pPr>
            <w:pStyle w:val="AF44C0238B7048B0B151280EB8B31AA5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88"/>
              <w:szCs w:val="88"/>
              <w:lang w:val="es-ES"/>
            </w:rPr>
            <w:t>[Título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Open Sans">
    <w:altName w:val="Verdana"/>
    <w:charset w:val="00"/>
    <w:family w:val="swiss"/>
    <w:pitch w:val="variable"/>
    <w:sig w:usb0="00000001" w:usb1="4000205B" w:usb2="00000028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D64"/>
    <w:rsid w:val="00062F2E"/>
    <w:rsid w:val="00116C6C"/>
    <w:rsid w:val="00162D37"/>
    <w:rsid w:val="001C272F"/>
    <w:rsid w:val="002E435D"/>
    <w:rsid w:val="003C53B7"/>
    <w:rsid w:val="004424A4"/>
    <w:rsid w:val="004F0FBD"/>
    <w:rsid w:val="00524F95"/>
    <w:rsid w:val="0053603B"/>
    <w:rsid w:val="00542D64"/>
    <w:rsid w:val="005F3646"/>
    <w:rsid w:val="00636138"/>
    <w:rsid w:val="007113DB"/>
    <w:rsid w:val="00745E98"/>
    <w:rsid w:val="00804CCC"/>
    <w:rsid w:val="00836888"/>
    <w:rsid w:val="00913E71"/>
    <w:rsid w:val="009D56FB"/>
    <w:rsid w:val="00B415F4"/>
    <w:rsid w:val="00E3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F44C0238B7048B0B151280EB8B31AA5">
    <w:name w:val="AF44C0238B7048B0B151280EB8B31AA5"/>
    <w:rsid w:val="00542D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Instituto de Acceso a la InformaciónPública y Protección de Datos Personales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5DC33AC-E0F8-4A8D-96A6-7686DC0C3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6</Pages>
  <Words>1219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Programa de capacitación en gestión documental y administración de archivos 2021</vt:lpstr>
    </vt:vector>
  </TitlesOfParts>
  <Company/>
  <LinksUpToDate>false</LinksUpToDate>
  <CharactersWithSpaces>7913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Programa de capacitación en gestión documental y administración de archivos 2021</dc:title>
  <dc:subject>In</dc:subject>
  <dc:creator>María Tanivet Ramos Reyes</dc:creator>
  <cp:keywords/>
  <dc:description/>
  <cp:lastModifiedBy>Comisionado</cp:lastModifiedBy>
  <cp:revision>28</cp:revision>
  <cp:lastPrinted>2021-02-03T04:41:00Z</cp:lastPrinted>
  <dcterms:created xsi:type="dcterms:W3CDTF">2021-05-25T15:54:00Z</dcterms:created>
  <dcterms:modified xsi:type="dcterms:W3CDTF">2021-05-27T14:52:00Z</dcterms:modified>
</cp:coreProperties>
</file>