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C2AFFFA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127C7A">
        <w:rPr>
          <w:rFonts w:ascii="Arial" w:hAnsi="Arial" w:cs="Arial"/>
          <w:b/>
        </w:rPr>
        <w:t xml:space="preserve">CUADRAGÉSIMA </w:t>
      </w:r>
      <w:r w:rsidR="002520CF">
        <w:rPr>
          <w:rFonts w:ascii="Arial" w:hAnsi="Arial" w:cs="Arial"/>
          <w:b/>
        </w:rPr>
        <w:t>QUINTA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46C1DD7B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A615D2" w:rsidRPr="00025235">
        <w:rPr>
          <w:rFonts w:ascii="Arial" w:hAnsi="Arial" w:cs="Arial"/>
        </w:rPr>
        <w:t>d</w:t>
      </w:r>
      <w:r w:rsidR="007630BB">
        <w:rPr>
          <w:rFonts w:ascii="Arial" w:hAnsi="Arial" w:cs="Arial"/>
        </w:rPr>
        <w:t>oce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025235">
        <w:rPr>
          <w:rFonts w:ascii="Arial" w:hAnsi="Arial" w:cs="Arial"/>
        </w:rPr>
        <w:t>cinco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312461">
        <w:rPr>
          <w:rFonts w:ascii="Arial" w:hAnsi="Arial" w:cs="Arial"/>
        </w:rPr>
        <w:t>1</w:t>
      </w:r>
      <w:r w:rsidR="007630BB">
        <w:rPr>
          <w:rFonts w:ascii="Arial" w:hAnsi="Arial" w:cs="Arial"/>
        </w:rPr>
        <w:t>4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127C7A">
        <w:rPr>
          <w:rFonts w:ascii="Arial" w:hAnsi="Arial" w:cs="Arial"/>
          <w:b/>
        </w:rPr>
        <w:t xml:space="preserve">Cuadragésima </w:t>
      </w:r>
      <w:r w:rsidR="007630BB">
        <w:rPr>
          <w:rFonts w:ascii="Arial" w:hAnsi="Arial" w:cs="Arial"/>
          <w:b/>
        </w:rPr>
        <w:t>Quinta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127C7A">
        <w:rPr>
          <w:rFonts w:ascii="Arial" w:hAnsi="Arial" w:cs="Arial"/>
          <w:b/>
        </w:rPr>
        <w:t>4</w:t>
      </w:r>
      <w:r w:rsidR="007630BB">
        <w:rPr>
          <w:rFonts w:ascii="Arial" w:hAnsi="Arial" w:cs="Arial"/>
          <w:b/>
        </w:rPr>
        <w:t>5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312461">
        <w:rPr>
          <w:rFonts w:ascii="Arial" w:hAnsi="Arial" w:cs="Arial"/>
        </w:rPr>
        <w:t>1</w:t>
      </w:r>
      <w:r w:rsidR="007630BB">
        <w:rPr>
          <w:rFonts w:ascii="Arial" w:hAnsi="Arial" w:cs="Arial"/>
        </w:rPr>
        <w:t>4</w:t>
      </w:r>
      <w:r w:rsidR="008F429F" w:rsidRPr="00250337">
        <w:rPr>
          <w:rFonts w:ascii="Arial" w:hAnsi="Arial" w:cs="Arial"/>
        </w:rPr>
        <w:t xml:space="preserve"> 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B57E43">
        <w:rPr>
          <w:rFonts w:ascii="Arial" w:hAnsi="Arial" w:cs="Arial"/>
        </w:rPr>
        <w:t>- - - - - - - - - - - - - -</w:t>
      </w:r>
      <w:r w:rsidR="00127C7A">
        <w:rPr>
          <w:rFonts w:ascii="Arial" w:hAnsi="Arial" w:cs="Arial"/>
        </w:rPr>
        <w:t xml:space="preserve"> - - - - - - - - - - - - - - - - - - - 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0ECE42BE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</w:t>
      </w:r>
      <w:r w:rsidR="00127C7A">
        <w:rPr>
          <w:rFonts w:ascii="Arial" w:hAnsi="Arial" w:cs="Arial"/>
          <w:bCs/>
          <w:lang w:val="es-ES_tradnl"/>
        </w:rPr>
        <w:t>4</w:t>
      </w:r>
      <w:r w:rsidR="007630BB">
        <w:rPr>
          <w:rFonts w:ascii="Arial" w:hAnsi="Arial" w:cs="Arial"/>
          <w:bCs/>
          <w:lang w:val="es-ES_tradnl"/>
        </w:rPr>
        <w:t>4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="007630BB" w:rsidRPr="002E6A71">
        <w:rPr>
          <w:rFonts w:ascii="Arial" w:hAnsi="Arial" w:cs="Arial"/>
        </w:rPr>
        <w:t>por el cual el Comité de Transparencia de este Órgano Garante, confirma, modifica o revoca la</w:t>
      </w:r>
      <w:r w:rsidR="007630BB">
        <w:rPr>
          <w:rFonts w:ascii="Arial" w:hAnsi="Arial" w:cs="Arial"/>
        </w:rPr>
        <w:t xml:space="preserve"> solicitud de clasificación de información confidencial, así como versiones públicas que emite la Secretaría General de Acuerdos del OGAIPO, </w:t>
      </w:r>
      <w:r w:rsidR="007630BB" w:rsidRPr="002E6A71">
        <w:rPr>
          <w:rFonts w:ascii="Arial" w:hAnsi="Arial" w:cs="Arial"/>
        </w:rPr>
        <w:t>respecto de las solicitudes de acceso a la informac</w:t>
      </w:r>
      <w:r w:rsidR="007630BB">
        <w:rPr>
          <w:rFonts w:ascii="Arial" w:hAnsi="Arial" w:cs="Arial"/>
        </w:rPr>
        <w:t xml:space="preserve">ión pública y de derechos ARCOP. - - - - - - - </w:t>
      </w:r>
    </w:p>
    <w:p w14:paraId="558FCA00" w14:textId="53C571C1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</w:t>
      </w:r>
      <w:r w:rsidR="00127C7A">
        <w:rPr>
          <w:rFonts w:ascii="Arial" w:hAnsi="Arial" w:cs="Arial"/>
        </w:rPr>
        <w:t xml:space="preserve">Cuadragésima </w:t>
      </w:r>
      <w:r w:rsidR="002520CF">
        <w:rPr>
          <w:rFonts w:ascii="Arial" w:hAnsi="Arial" w:cs="Arial"/>
        </w:rPr>
        <w:t>Quinta</w:t>
      </w:r>
      <w:r w:rsidR="00127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del Comité de Transparencia del OGAIPO. - - - - - - - - - - - </w:t>
      </w:r>
      <w:r w:rsidR="00312461">
        <w:rPr>
          <w:rFonts w:ascii="Arial" w:hAnsi="Arial" w:cs="Arial"/>
        </w:rPr>
        <w:t>- - - - - - - - - - -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lastRenderedPageBreak/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194C1BBE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="00203E76" w:rsidRPr="00DB4503">
        <w:rPr>
          <w:rFonts w:ascii="Arial" w:hAnsi="Arial" w:cs="Arial"/>
          <w:bCs/>
          <w:lang w:val="es-ES_tradnl"/>
        </w:rPr>
        <w:t>ACUERDO/OGAIPO/CT/</w:t>
      </w:r>
      <w:r w:rsidR="00203E76">
        <w:rPr>
          <w:rFonts w:ascii="Arial" w:hAnsi="Arial" w:cs="Arial"/>
          <w:bCs/>
          <w:lang w:val="es-ES_tradnl"/>
        </w:rPr>
        <w:t>044/2022</w:t>
      </w:r>
      <w:r w:rsidR="00203E76" w:rsidRPr="002E6A71">
        <w:rPr>
          <w:rFonts w:ascii="Arial" w:hAnsi="Arial" w:cs="Arial"/>
          <w:bCs/>
          <w:lang w:val="es-ES_tradnl"/>
        </w:rPr>
        <w:t>,</w:t>
      </w:r>
      <w:r w:rsidR="00203E76">
        <w:rPr>
          <w:rFonts w:ascii="Arial" w:hAnsi="Arial" w:cs="Arial"/>
        </w:rPr>
        <w:t xml:space="preserve"> </w:t>
      </w:r>
      <w:r w:rsidR="00203E76" w:rsidRPr="002E6A71">
        <w:rPr>
          <w:rFonts w:ascii="Arial" w:hAnsi="Arial" w:cs="Arial"/>
        </w:rPr>
        <w:t>por el cual el Comité de Transparencia de este Órgano Garante, confirma, modifica o revoca la</w:t>
      </w:r>
      <w:r w:rsidR="00203E76">
        <w:rPr>
          <w:rFonts w:ascii="Arial" w:hAnsi="Arial" w:cs="Arial"/>
        </w:rPr>
        <w:t xml:space="preserve"> solicitud de clasificación de información confidencial, así como versiones públicas que emite la Secretaría General de Acuerdos del OGAIPO, </w:t>
      </w:r>
      <w:r w:rsidRPr="00E656A9">
        <w:rPr>
          <w:rFonts w:ascii="Arial" w:hAnsi="Arial" w:cs="Arial"/>
        </w:rPr>
        <w:t xml:space="preserve">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  <w:r w:rsidR="00203E76">
        <w:rPr>
          <w:rFonts w:ascii="Arial" w:hAnsi="Arial" w:cs="Arial"/>
        </w:rPr>
        <w:t xml:space="preserve"> - - - - - - - - - - - - - - - -</w:t>
      </w:r>
    </w:p>
    <w:p w14:paraId="1F075D11" w14:textId="40C42510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312461">
        <w:rPr>
          <w:rFonts w:ascii="Arial" w:hAnsi="Arial" w:cs="Arial"/>
        </w:rPr>
        <w:t>1</w:t>
      </w:r>
      <w:r w:rsidR="00203E76">
        <w:rPr>
          <w:rFonts w:ascii="Arial" w:hAnsi="Arial" w:cs="Arial"/>
        </w:rPr>
        <w:t>4</w:t>
      </w:r>
      <w:r w:rsidRPr="00432E16">
        <w:rPr>
          <w:rFonts w:ascii="Arial" w:hAnsi="Arial" w:cs="Arial"/>
        </w:rPr>
        <w:t xml:space="preserve"> de </w:t>
      </w:r>
      <w:r w:rsidR="00284F15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127C7A">
        <w:rPr>
          <w:rFonts w:ascii="Arial" w:hAnsi="Arial" w:cs="Arial"/>
          <w:b/>
          <w:bCs/>
          <w:lang w:val="es-ES_tradnl"/>
        </w:rPr>
        <w:t>4</w:t>
      </w:r>
      <w:r w:rsidR="00203E76">
        <w:rPr>
          <w:rFonts w:ascii="Arial" w:hAnsi="Arial" w:cs="Arial"/>
          <w:b/>
          <w:bCs/>
          <w:lang w:val="es-ES_tradnl"/>
        </w:rPr>
        <w:t>4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</w:t>
      </w:r>
      <w:r w:rsidR="00203E76" w:rsidRPr="002E6A71">
        <w:rPr>
          <w:rFonts w:ascii="Arial" w:hAnsi="Arial" w:cs="Arial"/>
        </w:rPr>
        <w:t>la</w:t>
      </w:r>
      <w:r w:rsidR="00203E76">
        <w:rPr>
          <w:rFonts w:ascii="Arial" w:hAnsi="Arial" w:cs="Arial"/>
        </w:rPr>
        <w:t xml:space="preserve"> solicitud de clasificación de información confidencial, así como versiones públicas</w:t>
      </w:r>
      <w:r w:rsidR="00203E76" w:rsidRPr="00432E16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203E76">
        <w:rPr>
          <w:rFonts w:ascii="Arial" w:hAnsi="Arial" w:cs="Arial"/>
        </w:rPr>
        <w:t>Secretaría General de Acuerdos del OGAIPO</w:t>
      </w:r>
      <w:r w:rsidRPr="00432E16">
        <w:rPr>
          <w:rFonts w:ascii="Arial" w:hAnsi="Arial" w:cs="Arial"/>
        </w:rPr>
        <w:t>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</w:t>
      </w:r>
      <w:r w:rsidR="00203E76">
        <w:rPr>
          <w:rFonts w:ascii="Arial" w:hAnsi="Arial" w:cs="Arial"/>
        </w:rPr>
        <w:t xml:space="preserve">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15662C">
        <w:rPr>
          <w:rFonts w:ascii="Arial" w:hAnsi="Arial" w:cs="Arial"/>
        </w:rPr>
        <w:t>0</w:t>
      </w:r>
      <w:r w:rsidR="00637B47">
        <w:rPr>
          <w:rStyle w:val="form-control"/>
          <w:rFonts w:ascii="Arial" w:hAnsi="Arial" w:cs="Arial"/>
          <w:b/>
        </w:rPr>
        <w:t>202728522000</w:t>
      </w:r>
      <w:r w:rsidR="00A615D2">
        <w:rPr>
          <w:rStyle w:val="form-control"/>
          <w:rFonts w:ascii="Arial" w:hAnsi="Arial" w:cs="Arial"/>
          <w:b/>
        </w:rPr>
        <w:t>2</w:t>
      </w:r>
      <w:r w:rsidR="0015662C">
        <w:rPr>
          <w:rStyle w:val="form-control"/>
          <w:rFonts w:ascii="Arial" w:hAnsi="Arial" w:cs="Arial"/>
          <w:b/>
        </w:rPr>
        <w:t xml:space="preserve">01. </w:t>
      </w:r>
      <w:r w:rsidR="0015662C" w:rsidRPr="0015662C">
        <w:rPr>
          <w:rStyle w:val="form-control"/>
          <w:rFonts w:ascii="Arial" w:hAnsi="Arial" w:cs="Arial"/>
          <w:bCs/>
        </w:rPr>
        <w:t xml:space="preserve">- - - - -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F7CEE7" w14:textId="4263D42E" w:rsidR="003C7E27" w:rsidRDefault="00921EDE" w:rsidP="0015662C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</w:t>
      </w:r>
      <w:r w:rsidR="0015662C" w:rsidRPr="002E6A71">
        <w:rPr>
          <w:rFonts w:ascii="Arial" w:hAnsi="Arial" w:cs="Arial"/>
        </w:rPr>
        <w:t>la</w:t>
      </w:r>
      <w:r w:rsidR="0015662C">
        <w:rPr>
          <w:rFonts w:ascii="Arial" w:hAnsi="Arial" w:cs="Arial"/>
        </w:rPr>
        <w:t xml:space="preserve"> solicitud de clasificación de información confidencial, así como versiones públicas</w:t>
      </w:r>
      <w:r w:rsidR="0015662C" w:rsidRPr="00432E16">
        <w:rPr>
          <w:rFonts w:ascii="Arial" w:hAnsi="Arial" w:cs="Arial"/>
        </w:rPr>
        <w:t xml:space="preserve"> que emite la </w:t>
      </w:r>
      <w:r w:rsidR="0015662C">
        <w:rPr>
          <w:rFonts w:ascii="Arial" w:hAnsi="Arial" w:cs="Arial"/>
        </w:rPr>
        <w:t>Secretaría General de Acuerdos del OGAIPO</w:t>
      </w:r>
      <w:r w:rsidR="0015662C">
        <w:rPr>
          <w:rFonts w:ascii="Arial" w:hAnsi="Arial" w:cs="Arial"/>
        </w:rPr>
        <w:t>,</w:t>
      </w:r>
      <w:r w:rsidR="0014077F" w:rsidRPr="00D82BC3">
        <w:rPr>
          <w:rFonts w:ascii="Arial" w:hAnsi="Arial" w:cs="Arial"/>
        </w:rPr>
        <w:t xml:space="preserve"> respecto de la</w:t>
      </w:r>
      <w:r w:rsidR="0014077F">
        <w:rPr>
          <w:rFonts w:ascii="Arial" w:hAnsi="Arial" w:cs="Arial"/>
        </w:rPr>
        <w:t xml:space="preserve"> solicitud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</w:t>
      </w:r>
      <w:r w:rsidR="0014077F" w:rsidRPr="00D82BC3">
        <w:rPr>
          <w:rFonts w:ascii="Arial" w:hAnsi="Arial" w:cs="Arial"/>
        </w:rPr>
        <w:t>, identificada</w:t>
      </w:r>
      <w:r w:rsidR="0014077F">
        <w:rPr>
          <w:rFonts w:ascii="Arial" w:hAnsi="Arial" w:cs="Arial"/>
        </w:rPr>
        <w:t xml:space="preserve"> con </w:t>
      </w:r>
      <w:r w:rsidR="00A615D2">
        <w:rPr>
          <w:rFonts w:ascii="Arial" w:hAnsi="Arial" w:cs="Arial"/>
        </w:rPr>
        <w:t>el</w:t>
      </w:r>
      <w:r w:rsidR="0014077F" w:rsidRPr="00D82BC3">
        <w:rPr>
          <w:rFonts w:ascii="Arial" w:hAnsi="Arial" w:cs="Arial"/>
        </w:rPr>
        <w:t xml:space="preserve"> número </w:t>
      </w:r>
      <w:r w:rsidR="0014077F" w:rsidRPr="00312461">
        <w:rPr>
          <w:rFonts w:ascii="Arial" w:hAnsi="Arial" w:cs="Arial"/>
        </w:rPr>
        <w:t>de folio</w:t>
      </w:r>
      <w:r w:rsidR="00312461" w:rsidRPr="00312461">
        <w:rPr>
          <w:rFonts w:ascii="Arial" w:hAnsi="Arial" w:cs="Arial"/>
        </w:rPr>
        <w:t xml:space="preserve"> </w:t>
      </w:r>
      <w:r w:rsidR="00312461" w:rsidRPr="00312461">
        <w:rPr>
          <w:rStyle w:val="form-control"/>
          <w:rFonts w:ascii="Arial" w:hAnsi="Arial" w:cs="Arial"/>
        </w:rPr>
        <w:t>2027285220002</w:t>
      </w:r>
      <w:r w:rsidR="0015662C">
        <w:rPr>
          <w:rStyle w:val="form-control"/>
          <w:rFonts w:ascii="Arial" w:hAnsi="Arial" w:cs="Arial"/>
        </w:rPr>
        <w:t>01</w:t>
      </w:r>
      <w:r w:rsidR="00312461" w:rsidRPr="00312461">
        <w:rPr>
          <w:rFonts w:ascii="Arial" w:hAnsi="Arial" w:cs="Arial"/>
        </w:rPr>
        <w:t>.</w:t>
      </w:r>
      <w:r w:rsidR="0014077F">
        <w:rPr>
          <w:rStyle w:val="form-control"/>
          <w:rFonts w:ascii="Arial" w:hAnsi="Arial" w:cs="Arial"/>
          <w:b/>
        </w:rPr>
        <w:t xml:space="preserve"> </w:t>
      </w:r>
      <w:r w:rsidR="0014077F">
        <w:rPr>
          <w:rStyle w:val="form-control"/>
          <w:rFonts w:ascii="Arial" w:hAnsi="Arial" w:cs="Arial"/>
          <w:bCs/>
        </w:rPr>
        <w:t xml:space="preserve">- - - - - - - - - - - - - - - - </w:t>
      </w:r>
      <w:r w:rsidR="003C7E27">
        <w:rPr>
          <w:rStyle w:val="form-control"/>
          <w:rFonts w:ascii="Arial" w:hAnsi="Arial" w:cs="Arial"/>
          <w:bCs/>
        </w:rPr>
        <w:t xml:space="preserve">- - - - - - - </w:t>
      </w:r>
      <w:r w:rsidR="00312461">
        <w:rPr>
          <w:rStyle w:val="form-control"/>
          <w:rFonts w:ascii="Arial" w:hAnsi="Arial" w:cs="Arial"/>
          <w:bCs/>
        </w:rPr>
        <w:t xml:space="preserve">- - - - - - - - - - - </w:t>
      </w:r>
    </w:p>
    <w:p w14:paraId="09D7560C" w14:textId="72FB92CF" w:rsidR="00776B56" w:rsidRPr="00D44BE4" w:rsidRDefault="00776B56" w:rsidP="00776B56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>, hará del conocimiento de la Unidad Administrativa la determinación de este Órgano colegiado, respecto de la solicitud de la clasificación de información confidencial</w:t>
      </w:r>
      <w:r>
        <w:rPr>
          <w:rFonts w:ascii="Arial" w:eastAsia="Times New Roman" w:hAnsi="Arial" w:cs="Arial"/>
          <w:lang w:val="es-ES_tradnl"/>
        </w:rPr>
        <w:t xml:space="preserve">, </w:t>
      </w:r>
      <w:r>
        <w:rPr>
          <w:rFonts w:ascii="Arial" w:hAnsi="Arial" w:cs="Arial"/>
        </w:rPr>
        <w:t xml:space="preserve">así como versiones </w:t>
      </w:r>
      <w:r>
        <w:rPr>
          <w:rFonts w:ascii="Arial" w:hAnsi="Arial" w:cs="Arial"/>
        </w:rPr>
        <w:t>públicas</w:t>
      </w:r>
      <w:r w:rsidRPr="00D44BE4">
        <w:rPr>
          <w:rFonts w:ascii="Arial" w:eastAsia="Times New Roman" w:hAnsi="Arial" w:cs="Arial"/>
          <w:lang w:val="es-ES_tradnl"/>
        </w:rPr>
        <w:t>. -</w:t>
      </w:r>
      <w:r w:rsidRPr="00D44BE4">
        <w:rPr>
          <w:rFonts w:ascii="Arial" w:eastAsia="Times New Roman" w:hAnsi="Arial" w:cs="Arial"/>
          <w:lang w:val="es-ES_tradnl"/>
        </w:rPr>
        <w:t xml:space="preserve"> - </w:t>
      </w:r>
      <w:r>
        <w:rPr>
          <w:rFonts w:ascii="Arial" w:eastAsia="Times New Roman" w:hAnsi="Arial" w:cs="Arial"/>
          <w:lang w:val="es-ES_tradnl"/>
        </w:rPr>
        <w:t xml:space="preserve">- - - - - - - - - - - - - - - - </w:t>
      </w:r>
    </w:p>
    <w:p w14:paraId="623F1A7E" w14:textId="77777777" w:rsidR="00253723" w:rsidRPr="00D44BE4" w:rsidRDefault="00253723" w:rsidP="00253723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 w:rsidRPr="00D44BE4">
        <w:rPr>
          <w:rFonts w:ascii="Arial" w:hAnsi="Arial" w:cs="Arial"/>
          <w:b/>
          <w:lang w:val="es-ES_tradnl"/>
        </w:rPr>
        <w:t>TERCERO: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573AF115" w14:textId="701CBB5D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3C7E27">
        <w:rPr>
          <w:rFonts w:ascii="Arial" w:hAnsi="Arial" w:cs="Arial"/>
        </w:rPr>
        <w:t xml:space="preserve">Cuadragésima </w:t>
      </w:r>
      <w:r w:rsidR="00591BD0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591BD0">
        <w:rPr>
          <w:rFonts w:ascii="Arial" w:hAnsi="Arial" w:cs="Arial"/>
        </w:rPr>
        <w:lastRenderedPageBreak/>
        <w:t>catorce</w:t>
      </w:r>
      <w:r w:rsidR="003C7E27">
        <w:rPr>
          <w:rFonts w:ascii="Arial" w:hAnsi="Arial" w:cs="Arial"/>
        </w:rPr>
        <w:t xml:space="preserve"> de septiembre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284F15"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235542BB" w14:textId="77F2912D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3C7E27">
        <w:rPr>
          <w:rFonts w:ascii="Arial" w:hAnsi="Arial" w:cs="Arial"/>
        </w:rPr>
        <w:t xml:space="preserve">Cuadragésima </w:t>
      </w:r>
      <w:r w:rsidR="00253723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3C7E27">
        <w:rPr>
          <w:rFonts w:ascii="Arial" w:hAnsi="Arial" w:cs="Arial"/>
        </w:rPr>
        <w:t xml:space="preserve">Cuadragésima </w:t>
      </w:r>
      <w:r w:rsidR="00253723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312461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09596E">
        <w:rPr>
          <w:rFonts w:ascii="Arial" w:hAnsi="Arial" w:cs="Arial"/>
        </w:rPr>
        <w:t xml:space="preserve">Cuadragésima </w:t>
      </w:r>
      <w:r w:rsidR="00312461">
        <w:rPr>
          <w:rFonts w:ascii="Arial" w:hAnsi="Arial" w:cs="Arial"/>
        </w:rPr>
        <w:t>Cuarta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4ADC1503" w14:textId="77777777" w:rsidR="00253723" w:rsidRPr="00D44BE4" w:rsidRDefault="00253723" w:rsidP="00253723">
      <w:pPr>
        <w:pStyle w:val="Sinespaciado"/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Secretaría General de Acuerdos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32 correos electrónicos</w:t>
      </w:r>
      <w:r w:rsidRPr="00D44BE4">
        <w:rPr>
          <w:rFonts w:ascii="Arial" w:hAnsi="Arial" w:cs="Arial"/>
        </w:rPr>
        <w:t xml:space="preserve">, requeridos en la solicitud de acceso a la información con número de folio </w:t>
      </w:r>
      <w:r>
        <w:rPr>
          <w:rFonts w:ascii="Arial" w:hAnsi="Arial" w:cs="Arial"/>
          <w:b/>
          <w:bCs/>
        </w:rPr>
        <w:t>02728522000201</w:t>
      </w:r>
      <w:r>
        <w:rPr>
          <w:rFonts w:ascii="Arial" w:hAnsi="Arial" w:cs="Arial"/>
        </w:rPr>
        <w:t>.- - - - - - - - - - - - - - -</w:t>
      </w:r>
    </w:p>
    <w:p w14:paraId="6F00D670" w14:textId="77777777" w:rsidR="00253723" w:rsidRPr="00D44BE4" w:rsidRDefault="00253723" w:rsidP="00253723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de la Unidad Administrativa la determinación de este Órgano colegiado, respecto de la solicitud de la clasificación de información </w:t>
      </w:r>
      <w:proofErr w:type="gramStart"/>
      <w:r w:rsidRPr="00D44BE4">
        <w:rPr>
          <w:rFonts w:ascii="Arial" w:eastAsia="Times New Roman" w:hAnsi="Arial" w:cs="Arial"/>
          <w:lang w:val="es-ES_tradnl"/>
        </w:rPr>
        <w:t>confidencial.-</w:t>
      </w:r>
      <w:proofErr w:type="gramEnd"/>
      <w:r w:rsidRPr="00D44BE4">
        <w:rPr>
          <w:rFonts w:ascii="Arial" w:eastAsia="Times New Roman" w:hAnsi="Arial" w:cs="Arial"/>
          <w:lang w:val="es-ES_tradnl"/>
        </w:rPr>
        <w:t xml:space="preserve">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</w:t>
      </w:r>
    </w:p>
    <w:p w14:paraId="44646C96" w14:textId="77777777" w:rsidR="00253723" w:rsidRPr="00D44BE4" w:rsidRDefault="00253723" w:rsidP="00253723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 w:rsidRPr="00D44BE4">
        <w:rPr>
          <w:rFonts w:ascii="Arial" w:hAnsi="Arial" w:cs="Arial"/>
          <w:b/>
          <w:lang w:val="es-ES_tradnl"/>
        </w:rPr>
        <w:t>TERCERO: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4E6C7C53" w14:textId="6F3D6ECF" w:rsidR="00D97D53" w:rsidRPr="00D82BC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</w:t>
      </w:r>
      <w:r w:rsidR="00253723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253723">
        <w:rPr>
          <w:rFonts w:ascii="Arial" w:hAnsi="Arial" w:cs="Arial"/>
        </w:rPr>
        <w:t>catorce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</w:t>
      </w:r>
      <w:r w:rsidR="00943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06C2A537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7448F171" w14:textId="2D63714E" w:rsidR="00C102AB" w:rsidRDefault="00C102AB" w:rsidP="00921EDE">
      <w:pPr>
        <w:spacing w:line="276" w:lineRule="auto"/>
        <w:rPr>
          <w:rFonts w:ascii="Arial" w:hAnsi="Arial" w:cs="Arial"/>
        </w:rPr>
      </w:pPr>
    </w:p>
    <w:p w14:paraId="5AFE923A" w14:textId="733CB38D" w:rsidR="00C102AB" w:rsidRDefault="00C102AB" w:rsidP="00921EDE">
      <w:pPr>
        <w:spacing w:line="276" w:lineRule="auto"/>
        <w:rPr>
          <w:rFonts w:ascii="Arial" w:hAnsi="Arial" w:cs="Arial"/>
        </w:rPr>
      </w:pPr>
    </w:p>
    <w:p w14:paraId="7AC12B6B" w14:textId="77777777" w:rsidR="00C102AB" w:rsidRDefault="00C102AB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5FABAA2B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AC2F07" w14:textId="0394FF9B" w:rsidR="00C102AB" w:rsidRDefault="00C102AB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1E8B8B" w14:textId="77777777" w:rsidR="00C102AB" w:rsidRDefault="00C102AB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5CDC09BE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6EAB59" w14:textId="30B02955" w:rsidR="00C102AB" w:rsidRDefault="00C102AB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2E7DF7" w14:textId="1FA35B24" w:rsidR="00C102AB" w:rsidRDefault="00C102AB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EC2D3F" w14:textId="77777777" w:rsidR="00C102AB" w:rsidRDefault="00C102AB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1229D407" w:rsidR="00C22F49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p w14:paraId="69B7C0B8" w14:textId="49694B2E" w:rsidR="00C102AB" w:rsidRDefault="00C102AB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6775F29C" w14:textId="32E92EC7" w:rsidR="00C102AB" w:rsidRDefault="00C102AB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36B4558C" w14:textId="3F4299C0" w:rsidR="00C102AB" w:rsidRDefault="00C102AB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791135EF" w14:textId="244F1434" w:rsidR="00C102AB" w:rsidRDefault="00C102AB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08C6C478" w14:textId="4C6BDE33" w:rsidR="00C102AB" w:rsidRDefault="00C102AB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6138239E" w14:textId="41BB3D1D" w:rsidR="00C102AB" w:rsidRDefault="00C102AB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47245DC6" w14:textId="592E3F68" w:rsidR="00C102AB" w:rsidRDefault="00C102AB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5E4367C0" w14:textId="5AF00AF6" w:rsidR="00C102AB" w:rsidRDefault="00C102AB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45E173E1" w14:textId="752769E2" w:rsidR="00C102AB" w:rsidRDefault="00C102AB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0415F991" w14:textId="5A13E9E5" w:rsidR="00C102AB" w:rsidRDefault="00C102AB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4900D533" w14:textId="3FFFEBA8" w:rsidR="00C102AB" w:rsidRDefault="00C102AB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1FE129C0" w14:textId="05F3F8A0" w:rsidR="00C102AB" w:rsidRPr="00C102AB" w:rsidRDefault="00C102AB" w:rsidP="00C102AB">
      <w:pPr>
        <w:shd w:val="clear" w:color="auto" w:fill="FFFFFF"/>
        <w:spacing w:after="225"/>
        <w:jc w:val="both"/>
        <w:rPr>
          <w:rFonts w:ascii="Arial" w:eastAsia="Calibri" w:hAnsi="Arial" w:cs="Arial"/>
        </w:rPr>
      </w:pPr>
      <w:r w:rsidRPr="00C102AB">
        <w:rPr>
          <w:rFonts w:ascii="Arial" w:eastAsia="Calibri" w:hAnsi="Arial" w:cs="Arial"/>
        </w:rPr>
        <w:t xml:space="preserve">La presente hoja de firmas corresponde al </w:t>
      </w:r>
      <w:r w:rsidRPr="00C102AB">
        <w:rPr>
          <w:rFonts w:ascii="Arial" w:eastAsia="Calibri" w:hAnsi="Arial" w:cs="Arial"/>
        </w:rPr>
        <w:t xml:space="preserve">Acta de la Cuadragésima Quinta Sesión extraordinaria </w:t>
      </w:r>
      <w:proofErr w:type="gramStart"/>
      <w:r w:rsidRPr="00C102AB">
        <w:rPr>
          <w:rFonts w:ascii="Arial" w:eastAsia="Calibri" w:hAnsi="Arial" w:cs="Arial"/>
        </w:rPr>
        <w:t>2022</w:t>
      </w:r>
      <w:r w:rsidRPr="00C102AB">
        <w:rPr>
          <w:rFonts w:ascii="Arial" w:eastAsia="Calibri" w:hAnsi="Arial" w:cs="Arial"/>
        </w:rPr>
        <w:t xml:space="preserve">  del</w:t>
      </w:r>
      <w:proofErr w:type="gramEnd"/>
      <w:r w:rsidRPr="00C102AB">
        <w:rPr>
          <w:rFonts w:ascii="Arial" w:eastAsia="Calibri" w:hAnsi="Arial" w:cs="Arial"/>
        </w:rPr>
        <w:t xml:space="preserve"> Comité de Transparencia del Órgano Garante de Acceso a la Información Pública, Transparencia, Protección de Datos Personales y Buen Gobierno del Estado de Oaxaca.- - - - - - - - - - - - - - - - - - - - - - - - - - - - - - - - - - - - - </w:t>
      </w:r>
    </w:p>
    <w:p w14:paraId="5800559C" w14:textId="77777777" w:rsidR="00C102AB" w:rsidRPr="004576F6" w:rsidRDefault="00C102AB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102AB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1739" w14:textId="77777777" w:rsidR="00FD7B0B" w:rsidRDefault="00FD7B0B" w:rsidP="00505074">
      <w:r>
        <w:separator/>
      </w:r>
    </w:p>
  </w:endnote>
  <w:endnote w:type="continuationSeparator" w:id="0">
    <w:p w14:paraId="39A77A15" w14:textId="77777777" w:rsidR="00FD7B0B" w:rsidRDefault="00FD7B0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F5F1B95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127C7A">
      <w:rPr>
        <w:rFonts w:ascii="Cambria" w:hAnsi="Cambria"/>
        <w:i/>
        <w:sz w:val="18"/>
      </w:rPr>
      <w:t>Cuadragésima</w:t>
    </w:r>
    <w:r w:rsidR="005A46F1">
      <w:rPr>
        <w:rFonts w:ascii="Cambria" w:hAnsi="Cambria"/>
        <w:i/>
        <w:sz w:val="18"/>
      </w:rPr>
      <w:t xml:space="preserve"> </w:t>
    </w:r>
    <w:r w:rsidR="002520CF">
      <w:rPr>
        <w:rFonts w:ascii="Cambria" w:hAnsi="Cambria"/>
        <w:i/>
        <w:sz w:val="18"/>
      </w:rPr>
      <w:t>Quinta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312461">
      <w:rPr>
        <w:rFonts w:ascii="Cambria" w:hAnsi="Cambria"/>
        <w:i/>
        <w:sz w:val="18"/>
      </w:rPr>
      <w:t>1</w:t>
    </w:r>
    <w:r w:rsidR="002520CF">
      <w:rPr>
        <w:rFonts w:ascii="Cambria" w:hAnsi="Cambria"/>
        <w:i/>
        <w:sz w:val="18"/>
      </w:rPr>
      <w:t>4</w:t>
    </w:r>
    <w:r>
      <w:rPr>
        <w:rFonts w:ascii="Cambria" w:hAnsi="Cambria"/>
        <w:i/>
        <w:sz w:val="18"/>
      </w:rPr>
      <w:t xml:space="preserve"> de </w:t>
    </w:r>
    <w:r w:rsidR="00127C7A">
      <w:rPr>
        <w:rFonts w:ascii="Cambria" w:hAnsi="Cambria"/>
        <w:i/>
        <w:sz w:val="18"/>
      </w:rPr>
      <w:t>septiembre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B7EE" w14:textId="77777777" w:rsidR="00FD7B0B" w:rsidRDefault="00FD7B0B" w:rsidP="00505074">
      <w:r>
        <w:separator/>
      </w:r>
    </w:p>
  </w:footnote>
  <w:footnote w:type="continuationSeparator" w:id="0">
    <w:p w14:paraId="735158C4" w14:textId="77777777" w:rsidR="00FD7B0B" w:rsidRDefault="00FD7B0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07C24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6EA3"/>
    <w:rsid w:val="000C70EC"/>
    <w:rsid w:val="000D739C"/>
    <w:rsid w:val="000E2746"/>
    <w:rsid w:val="000F3632"/>
    <w:rsid w:val="00127C7A"/>
    <w:rsid w:val="0014077F"/>
    <w:rsid w:val="00150315"/>
    <w:rsid w:val="0015662C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20268D"/>
    <w:rsid w:val="00203E76"/>
    <w:rsid w:val="002060F1"/>
    <w:rsid w:val="00214686"/>
    <w:rsid w:val="00214F1E"/>
    <w:rsid w:val="002252FE"/>
    <w:rsid w:val="0022549D"/>
    <w:rsid w:val="00240E7C"/>
    <w:rsid w:val="00244623"/>
    <w:rsid w:val="00250337"/>
    <w:rsid w:val="002520CF"/>
    <w:rsid w:val="002530AB"/>
    <w:rsid w:val="00253723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4B4775"/>
    <w:rsid w:val="004C5980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91BD0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704D30"/>
    <w:rsid w:val="0070734F"/>
    <w:rsid w:val="007630BB"/>
    <w:rsid w:val="00776B56"/>
    <w:rsid w:val="007844C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10E3"/>
    <w:rsid w:val="00876C0B"/>
    <w:rsid w:val="00877847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615D2"/>
    <w:rsid w:val="00A92ABB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02AB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D7B0B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1611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21</cp:revision>
  <cp:lastPrinted>2022-09-15T15:26:00Z</cp:lastPrinted>
  <dcterms:created xsi:type="dcterms:W3CDTF">2022-07-12T17:22:00Z</dcterms:created>
  <dcterms:modified xsi:type="dcterms:W3CDTF">2022-09-15T17:25:00Z</dcterms:modified>
</cp:coreProperties>
</file>