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38D6" w14:textId="29690A7D" w:rsidR="00CE68D6" w:rsidRPr="00FD39C3" w:rsidRDefault="00F3102F" w:rsidP="00CE68D6">
      <w:pPr>
        <w:spacing w:line="276" w:lineRule="auto"/>
        <w:jc w:val="both"/>
        <w:rPr>
          <w:rFonts w:ascii="Arial" w:eastAsia="Arial Unicode MS" w:hAnsi="Arial" w:cs="Arial"/>
          <w:b/>
          <w:lang w:eastAsia="es-ES"/>
        </w:rPr>
      </w:pPr>
      <w:r w:rsidRPr="00F348BF">
        <w:rPr>
          <w:rFonts w:ascii="Arial" w:eastAsia="Arial Unicode MS" w:hAnsi="Arial" w:cs="Arial"/>
          <w:b/>
          <w:bCs/>
        </w:rPr>
        <w:t xml:space="preserve">ACUERDO NÚMERO </w:t>
      </w:r>
      <w:r w:rsidRPr="00F348BF">
        <w:rPr>
          <w:rFonts w:ascii="Arial" w:eastAsia="Arial Unicode MS" w:hAnsi="Arial" w:cs="Arial"/>
          <w:b/>
        </w:rPr>
        <w:t>OGAIP</w:t>
      </w:r>
      <w:r w:rsidR="00697992">
        <w:rPr>
          <w:rFonts w:ascii="Arial" w:eastAsia="Arial Unicode MS" w:hAnsi="Arial" w:cs="Arial"/>
          <w:b/>
        </w:rPr>
        <w:t>O</w:t>
      </w:r>
      <w:r w:rsidRPr="00F348BF">
        <w:rPr>
          <w:rFonts w:ascii="Arial" w:eastAsia="Arial Unicode MS" w:hAnsi="Arial" w:cs="Arial"/>
          <w:b/>
        </w:rPr>
        <w:t>/</w:t>
      </w:r>
      <w:r w:rsidRPr="00304A44">
        <w:rPr>
          <w:rFonts w:ascii="Arial" w:eastAsia="Arial Unicode MS" w:hAnsi="Arial" w:cs="Arial"/>
          <w:b/>
        </w:rPr>
        <w:t>CG/</w:t>
      </w:r>
      <w:r w:rsidR="00304A44">
        <w:rPr>
          <w:rFonts w:ascii="Arial" w:eastAsia="Arial Unicode MS" w:hAnsi="Arial" w:cs="Arial"/>
          <w:b/>
        </w:rPr>
        <w:t>01</w:t>
      </w:r>
      <w:r w:rsidR="00CE68D6">
        <w:rPr>
          <w:rFonts w:ascii="Arial" w:eastAsia="Arial Unicode MS" w:hAnsi="Arial" w:cs="Arial"/>
          <w:b/>
        </w:rPr>
        <w:t>9</w:t>
      </w:r>
      <w:r w:rsidRPr="00304A44">
        <w:rPr>
          <w:rFonts w:ascii="Arial" w:eastAsia="Arial Unicode MS" w:hAnsi="Arial" w:cs="Arial"/>
          <w:b/>
        </w:rPr>
        <w:t>/2021</w:t>
      </w:r>
      <w:r w:rsidRPr="00F348BF">
        <w:rPr>
          <w:rFonts w:ascii="Arial" w:eastAsia="Arial Unicode MS" w:hAnsi="Arial" w:cs="Arial"/>
          <w:b/>
        </w:rPr>
        <w:t xml:space="preserve"> </w:t>
      </w:r>
      <w:r w:rsidRPr="00F348BF">
        <w:rPr>
          <w:rFonts w:ascii="Arial" w:eastAsia="Arial Unicode MS" w:hAnsi="Arial" w:cs="Arial"/>
          <w:b/>
          <w:bCs/>
        </w:rPr>
        <w:t xml:space="preserve">MEDIANTE EL CUAL EL </w:t>
      </w:r>
      <w:r w:rsidR="00B86C46">
        <w:rPr>
          <w:rFonts w:ascii="Arial" w:eastAsia="Arial Unicode MS" w:hAnsi="Arial" w:cs="Arial"/>
          <w:b/>
          <w:bCs/>
        </w:rPr>
        <w:t xml:space="preserve">CONSEJO GENERAL </w:t>
      </w:r>
      <w:r w:rsidR="007D0D9D">
        <w:rPr>
          <w:rFonts w:ascii="Arial" w:eastAsia="Arial Unicode MS" w:hAnsi="Arial" w:cs="Arial"/>
          <w:b/>
          <w:bCs/>
        </w:rPr>
        <w:t>DE</w:t>
      </w:r>
      <w:r w:rsidR="00B001E5">
        <w:rPr>
          <w:rFonts w:ascii="Arial" w:eastAsia="Arial Unicode MS" w:hAnsi="Arial" w:cs="Arial"/>
          <w:b/>
          <w:bCs/>
        </w:rPr>
        <w:t>L</w:t>
      </w:r>
      <w:r w:rsidR="00B86C46">
        <w:rPr>
          <w:rFonts w:ascii="Arial" w:eastAsia="Arial Unicode MS" w:hAnsi="Arial" w:cs="Arial"/>
          <w:b/>
          <w:bCs/>
        </w:rPr>
        <w:t xml:space="preserve"> </w:t>
      </w:r>
      <w:r w:rsidRPr="00F348BF">
        <w:rPr>
          <w:rFonts w:ascii="Arial" w:eastAsia="Arial Unicode MS" w:hAnsi="Arial" w:cs="Arial"/>
          <w:b/>
          <w:bCs/>
        </w:rPr>
        <w:t>ÓRGANO GARANTE DE ACCESO A LA INFORMACIÓN PÚBLICA, TRANSPARENCIA, PROTECCIÓN DE DATOS PERSONALES Y BUEN GOBIERNO DEL ESTADO DE OAXACA,</w:t>
      </w:r>
      <w:r w:rsidR="00A161E3">
        <w:rPr>
          <w:rFonts w:ascii="Arial" w:eastAsia="Arial Unicode MS" w:hAnsi="Arial" w:cs="Arial"/>
          <w:b/>
          <w:bCs/>
        </w:rPr>
        <w:t xml:space="preserve"> </w:t>
      </w:r>
      <w:r w:rsidR="00CE68D6" w:rsidRPr="00FD39C3">
        <w:rPr>
          <w:rFonts w:ascii="Arial" w:eastAsia="Arial Unicode MS" w:hAnsi="Arial" w:cs="Arial"/>
          <w:b/>
          <w:lang w:eastAsia="es-ES"/>
        </w:rPr>
        <w:t>APRUEBA</w:t>
      </w:r>
      <w:r w:rsidR="00CE68D6">
        <w:rPr>
          <w:rFonts w:ascii="Arial" w:eastAsia="Arial Unicode MS" w:hAnsi="Arial" w:cs="Arial"/>
          <w:b/>
          <w:lang w:eastAsia="es-ES"/>
        </w:rPr>
        <w:t>N UN</w:t>
      </w:r>
      <w:r w:rsidR="00CE68D6" w:rsidRPr="00A824A9">
        <w:rPr>
          <w:rFonts w:ascii="Arial" w:eastAsia="Arial Unicode MS" w:hAnsi="Arial" w:cs="Arial"/>
          <w:b/>
          <w:lang w:eastAsia="es-ES"/>
        </w:rPr>
        <w:t xml:space="preserve"> DICT</w:t>
      </w:r>
      <w:r w:rsidR="00CE68D6">
        <w:rPr>
          <w:rFonts w:ascii="Arial" w:eastAsia="Arial Unicode MS" w:hAnsi="Arial" w:cs="Arial"/>
          <w:b/>
          <w:lang w:eastAsia="es-ES"/>
        </w:rPr>
        <w:t>AMEN</w:t>
      </w:r>
      <w:r w:rsidR="00CE68D6" w:rsidRPr="00A824A9">
        <w:rPr>
          <w:rFonts w:ascii="Arial" w:eastAsia="Arial Unicode MS" w:hAnsi="Arial" w:cs="Arial"/>
          <w:b/>
          <w:lang w:eastAsia="es-ES"/>
        </w:rPr>
        <w:t xml:space="preserve"> DE CUMPLIMIENTO</w:t>
      </w:r>
      <w:r w:rsidR="00CE68D6">
        <w:rPr>
          <w:rFonts w:ascii="Arial" w:eastAsia="Arial Unicode MS" w:hAnsi="Arial" w:cs="Arial"/>
          <w:b/>
          <w:lang w:eastAsia="es-ES"/>
        </w:rPr>
        <w:t xml:space="preserve"> Y DOS DICTÁMENES DE INCUMPLIMIENTO</w:t>
      </w:r>
      <w:r w:rsidR="00CE68D6" w:rsidRPr="00A824A9">
        <w:rPr>
          <w:rFonts w:ascii="Arial" w:eastAsia="Arial Unicode MS" w:hAnsi="Arial" w:cs="Arial"/>
          <w:b/>
          <w:lang w:eastAsia="es-ES"/>
        </w:rPr>
        <w:t xml:space="preserve"> </w:t>
      </w:r>
      <w:r w:rsidR="00CE68D6" w:rsidRPr="00FD39C3">
        <w:rPr>
          <w:rFonts w:ascii="Arial" w:eastAsia="Arial Unicode MS" w:hAnsi="Arial" w:cs="Arial"/>
          <w:b/>
          <w:lang w:eastAsia="es-ES"/>
        </w:rPr>
        <w:t xml:space="preserve">CON LOS RESULTADOS DE LA VERIFICACIÓN VIRTUAL 2021 </w:t>
      </w:r>
      <w:r w:rsidR="00CE68D6" w:rsidRPr="00FD39C3">
        <w:rPr>
          <w:rFonts w:ascii="Arial" w:hAnsi="Arial" w:cs="Arial"/>
          <w:b/>
          <w:bCs/>
          <w:color w:val="222222"/>
          <w:shd w:val="clear" w:color="auto" w:fill="FFFFFF"/>
        </w:rPr>
        <w:t>DE LAS OBLIGACIONES DE TRANSPARENCIA, QUE EMITE LA DIRECCIÓN DE COMUNICACIÓN, CAPACITACIÓN, EVALUACIÓN, ARCHIVO Y DATOS PERSONALES.</w:t>
      </w:r>
    </w:p>
    <w:p w14:paraId="31ADC68E" w14:textId="7EEC70FC" w:rsidR="00F3102F" w:rsidRPr="00F348BF" w:rsidRDefault="00F3102F" w:rsidP="00400AE1">
      <w:pPr>
        <w:spacing w:line="276" w:lineRule="auto"/>
        <w:jc w:val="both"/>
        <w:rPr>
          <w:rFonts w:ascii="Arial" w:eastAsia="Arial Unicode MS" w:hAnsi="Arial" w:cs="Arial"/>
        </w:rPr>
      </w:pPr>
    </w:p>
    <w:p w14:paraId="4E130D8B" w14:textId="1618B0E3" w:rsidR="00F3102F" w:rsidRDefault="00F3102F" w:rsidP="00400AE1">
      <w:pPr>
        <w:spacing w:line="276" w:lineRule="auto"/>
        <w:jc w:val="both"/>
        <w:rPr>
          <w:rFonts w:ascii="Arial" w:eastAsia="Arial Unicode MS" w:hAnsi="Arial" w:cs="Arial"/>
        </w:rPr>
      </w:pPr>
      <w:r w:rsidRPr="00F348BF">
        <w:rPr>
          <w:rFonts w:ascii="Arial" w:eastAsia="Arial Unicode MS" w:hAnsi="Arial" w:cs="Arial"/>
        </w:rPr>
        <w:t>Con fundamento en lo dispuesto en los artículos 6°, Apartado A, fracción VIII de la Constitución Política de los Estados Unidos Mexicanos;</w:t>
      </w:r>
      <w:r w:rsidR="00583811">
        <w:rPr>
          <w:rFonts w:ascii="Arial" w:eastAsia="Arial Unicode MS" w:hAnsi="Arial" w:cs="Arial"/>
        </w:rPr>
        <w:t xml:space="preserve"> 114 inciso C de la Constitución Política del Estado Libre y Soberano de Oaxaca, </w:t>
      </w:r>
      <w:r w:rsidR="00560D1C">
        <w:rPr>
          <w:rFonts w:ascii="Arial" w:eastAsia="Arial Unicode MS" w:hAnsi="Arial" w:cs="Arial"/>
        </w:rPr>
        <w:t xml:space="preserve">37, </w:t>
      </w:r>
      <w:r w:rsidRPr="00F348BF">
        <w:rPr>
          <w:rFonts w:ascii="Arial" w:eastAsia="Arial Unicode MS" w:hAnsi="Arial" w:cs="Arial"/>
        </w:rPr>
        <w:t>41</w:t>
      </w:r>
      <w:r w:rsidR="00583811">
        <w:rPr>
          <w:rFonts w:ascii="Arial" w:eastAsia="Arial Unicode MS" w:hAnsi="Arial" w:cs="Arial"/>
        </w:rPr>
        <w:t xml:space="preserve"> </w:t>
      </w:r>
      <w:r w:rsidRPr="00F348BF">
        <w:rPr>
          <w:rFonts w:ascii="Arial" w:eastAsia="Arial Unicode MS" w:hAnsi="Arial" w:cs="Arial"/>
        </w:rPr>
        <w:t>fracción I</w:t>
      </w:r>
      <w:r w:rsidR="00481753">
        <w:rPr>
          <w:rFonts w:ascii="Arial" w:eastAsia="Arial Unicode MS" w:hAnsi="Arial" w:cs="Arial"/>
        </w:rPr>
        <w:t xml:space="preserve"> </w:t>
      </w:r>
      <w:r w:rsidR="00560D1C">
        <w:rPr>
          <w:rFonts w:ascii="Arial" w:eastAsia="Arial Unicode MS" w:hAnsi="Arial" w:cs="Arial"/>
        </w:rPr>
        <w:t xml:space="preserve">y 42 </w:t>
      </w:r>
      <w:r w:rsidRPr="00F348BF">
        <w:rPr>
          <w:rFonts w:ascii="Arial" w:eastAsia="Arial Unicode MS" w:hAnsi="Arial" w:cs="Arial"/>
        </w:rPr>
        <w:t>de la Ley General de Transparencia y Acceso a la Información Pública; artículo 93</w:t>
      </w:r>
      <w:r w:rsidR="00583811">
        <w:rPr>
          <w:rFonts w:ascii="Arial" w:eastAsia="Arial Unicode MS" w:hAnsi="Arial" w:cs="Arial"/>
        </w:rPr>
        <w:t xml:space="preserve"> fracción I inciso a)</w:t>
      </w:r>
      <w:r w:rsidRPr="00F348BF">
        <w:rPr>
          <w:rFonts w:ascii="Arial" w:eastAsia="Arial Unicode MS" w:hAnsi="Arial" w:cs="Arial"/>
        </w:rPr>
        <w:t xml:space="preserve"> de Ley de Transparencia, Acceso a la Información Pública y Buen Gobierno del Estado de Oaxaca; se emite el presente </w:t>
      </w:r>
      <w:r w:rsidR="0027769B">
        <w:rPr>
          <w:rFonts w:ascii="Arial" w:eastAsia="Arial Unicode MS" w:hAnsi="Arial" w:cs="Arial"/>
        </w:rPr>
        <w:t>acuerdo</w:t>
      </w:r>
      <w:r w:rsidRPr="00F348BF">
        <w:rPr>
          <w:rFonts w:ascii="Arial" w:eastAsia="Arial Unicode MS" w:hAnsi="Arial" w:cs="Arial"/>
        </w:rPr>
        <w:t xml:space="preserve">, tomando en </w:t>
      </w:r>
      <w:r w:rsidR="00B23C3D" w:rsidRPr="00F348BF">
        <w:rPr>
          <w:rFonts w:ascii="Arial" w:eastAsia="Arial Unicode MS" w:hAnsi="Arial" w:cs="Arial"/>
        </w:rPr>
        <w:t xml:space="preserve">cuenta </w:t>
      </w:r>
      <w:r w:rsidRPr="00F348BF">
        <w:rPr>
          <w:rFonts w:ascii="Arial" w:eastAsia="Arial Unicode MS" w:hAnsi="Arial" w:cs="Arial"/>
        </w:rPr>
        <w:t>l</w:t>
      </w:r>
      <w:r w:rsidR="00B559E4">
        <w:rPr>
          <w:rFonts w:ascii="Arial" w:eastAsia="Arial Unicode MS" w:hAnsi="Arial" w:cs="Arial"/>
        </w:rPr>
        <w:t>o</w:t>
      </w:r>
      <w:r w:rsidRPr="00F348BF">
        <w:rPr>
          <w:rFonts w:ascii="Arial" w:eastAsia="Arial Unicode MS" w:hAnsi="Arial" w:cs="Arial"/>
        </w:rPr>
        <w:t>s siguientes:</w:t>
      </w:r>
    </w:p>
    <w:p w14:paraId="4B04CA11" w14:textId="77777777" w:rsidR="00583811" w:rsidRPr="00583811" w:rsidRDefault="00583811" w:rsidP="00400AE1">
      <w:pPr>
        <w:spacing w:line="276" w:lineRule="auto"/>
        <w:jc w:val="both"/>
        <w:rPr>
          <w:rFonts w:ascii="Arial" w:eastAsia="Arial Unicode MS" w:hAnsi="Arial" w:cs="Arial"/>
        </w:rPr>
      </w:pPr>
    </w:p>
    <w:p w14:paraId="5232FFF0" w14:textId="63245D67" w:rsidR="00BC021F" w:rsidRDefault="00C31900" w:rsidP="00400AE1">
      <w:pPr>
        <w:shd w:val="clear" w:color="auto" w:fill="FFFFFF"/>
        <w:spacing w:after="225" w:line="276" w:lineRule="auto"/>
        <w:jc w:val="center"/>
        <w:rPr>
          <w:rFonts w:ascii="Arial" w:eastAsia="Times New Roman" w:hAnsi="Arial" w:cs="Arial"/>
          <w:b/>
          <w:bCs/>
          <w:color w:val="000000"/>
          <w:lang w:eastAsia="es-MX"/>
        </w:rPr>
      </w:pPr>
      <w:r w:rsidRPr="00B559E4">
        <w:rPr>
          <w:rFonts w:ascii="Arial" w:eastAsia="Times New Roman" w:hAnsi="Arial" w:cs="Arial"/>
          <w:b/>
          <w:bCs/>
          <w:color w:val="000000"/>
          <w:lang w:eastAsia="es-MX"/>
        </w:rPr>
        <w:t>ANTECEDENTES</w:t>
      </w:r>
      <w:r w:rsidR="00B559E4">
        <w:rPr>
          <w:rFonts w:ascii="Arial" w:eastAsia="Times New Roman" w:hAnsi="Arial" w:cs="Arial"/>
          <w:b/>
          <w:bCs/>
          <w:color w:val="000000"/>
          <w:lang w:eastAsia="es-MX"/>
        </w:rPr>
        <w:t>:</w:t>
      </w:r>
      <w:r w:rsidRPr="00B559E4">
        <w:rPr>
          <w:rFonts w:ascii="Arial" w:eastAsia="Times New Roman" w:hAnsi="Arial" w:cs="Arial"/>
          <w:b/>
          <w:bCs/>
          <w:color w:val="000000"/>
          <w:lang w:eastAsia="es-MX"/>
        </w:rPr>
        <w:t xml:space="preserve"> </w:t>
      </w:r>
    </w:p>
    <w:p w14:paraId="3DE03DB5" w14:textId="51159E09" w:rsidR="00D32A11" w:rsidRPr="00F07601" w:rsidRDefault="00D32A11" w:rsidP="00400AE1">
      <w:pPr>
        <w:pStyle w:val="Prrafodelista"/>
        <w:spacing w:line="276" w:lineRule="auto"/>
        <w:ind w:left="0"/>
        <w:jc w:val="both"/>
        <w:rPr>
          <w:rFonts w:ascii="Arial" w:eastAsia="Arial Unicode MS" w:hAnsi="Arial" w:cs="Arial"/>
          <w:b/>
          <w:bCs/>
        </w:rPr>
      </w:pPr>
      <w:r w:rsidRPr="00F07601">
        <w:rPr>
          <w:rFonts w:ascii="Arial" w:eastAsia="Arial Unicode MS" w:hAnsi="Arial" w:cs="Arial"/>
          <w:b/>
          <w:bCs/>
        </w:rPr>
        <w:t>P</w:t>
      </w:r>
      <w:r>
        <w:rPr>
          <w:rFonts w:ascii="Arial" w:eastAsia="Arial Unicode MS" w:hAnsi="Arial" w:cs="Arial"/>
          <w:b/>
          <w:bCs/>
        </w:rPr>
        <w:t>RIMERO</w:t>
      </w:r>
      <w:r w:rsidRPr="00F07601">
        <w:rPr>
          <w:rFonts w:ascii="Arial" w:eastAsia="Arial Unicode MS" w:hAnsi="Arial" w:cs="Arial"/>
          <w:b/>
          <w:bCs/>
        </w:rPr>
        <w:t xml:space="preserve">. </w:t>
      </w:r>
      <w:r w:rsidRPr="00F07601">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w:t>
      </w:r>
      <w:r w:rsidR="00C53130">
        <w:rPr>
          <w:rFonts w:ascii="Arial" w:eastAsia="Arial Unicode MS" w:hAnsi="Arial" w:cs="Arial"/>
        </w:rPr>
        <w:t>e</w:t>
      </w:r>
      <w:r w:rsidRPr="00F07601">
        <w:rPr>
          <w:rFonts w:ascii="Arial" w:eastAsia="Arial Unicode MS" w:hAnsi="Arial" w:cs="Arial"/>
        </w:rPr>
        <w:t>stado, responsable de salvaguardar el ejercicio de los derechos de acceso a la información pública, a la protección de datos personales y garantizar la  observancia de las normas y principios de buen gobierno.</w:t>
      </w:r>
    </w:p>
    <w:p w14:paraId="5EAC3087" w14:textId="77777777" w:rsidR="00D32A11" w:rsidRPr="00F07601" w:rsidRDefault="00D32A11" w:rsidP="00400AE1">
      <w:pPr>
        <w:pStyle w:val="Prrafodelista"/>
        <w:spacing w:line="276" w:lineRule="auto"/>
        <w:jc w:val="both"/>
        <w:rPr>
          <w:rFonts w:ascii="Arial" w:eastAsia="Arial Unicode MS" w:hAnsi="Arial" w:cs="Arial"/>
          <w:b/>
          <w:bCs/>
        </w:rPr>
      </w:pPr>
    </w:p>
    <w:p w14:paraId="0ECE9AD7" w14:textId="0F5DE4DB" w:rsidR="00D32A11" w:rsidRPr="00B6002F" w:rsidRDefault="00D32A11" w:rsidP="00400AE1">
      <w:pPr>
        <w:spacing w:line="276" w:lineRule="auto"/>
        <w:jc w:val="both"/>
        <w:rPr>
          <w:rFonts w:ascii="Arial" w:eastAsia="Arial Unicode MS" w:hAnsi="Arial" w:cs="Arial"/>
        </w:rPr>
      </w:pPr>
      <w:r w:rsidRPr="00B6002F">
        <w:rPr>
          <w:rFonts w:ascii="Arial" w:eastAsia="Arial Unicode MS" w:hAnsi="Arial" w:cs="Arial"/>
          <w:b/>
          <w:bCs/>
        </w:rPr>
        <w:t>SEGUNDO</w:t>
      </w:r>
      <w:bookmarkStart w:id="0" w:name="_Hlk89344534"/>
      <w:r w:rsidRPr="00B6002F">
        <w:rPr>
          <w:rFonts w:ascii="Arial" w:eastAsia="Arial Unicode MS" w:hAnsi="Arial" w:cs="Arial"/>
          <w:b/>
          <w:bCs/>
        </w:rPr>
        <w:t xml:space="preserve">. </w:t>
      </w:r>
      <w:r w:rsidRPr="00B6002F">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w:t>
      </w:r>
      <w:bookmarkEnd w:id="0"/>
    </w:p>
    <w:p w14:paraId="5CA42F6C" w14:textId="77777777" w:rsidR="00D32A11" w:rsidRDefault="00D32A11" w:rsidP="00400AE1">
      <w:pPr>
        <w:spacing w:line="276" w:lineRule="auto"/>
        <w:jc w:val="both"/>
        <w:rPr>
          <w:rFonts w:ascii="Arial" w:eastAsia="Arial Unicode MS" w:hAnsi="Arial" w:cs="Arial"/>
          <w:highlight w:val="yellow"/>
        </w:rPr>
      </w:pPr>
    </w:p>
    <w:p w14:paraId="21BC3853" w14:textId="0D4A7F47" w:rsidR="00D32A11" w:rsidRPr="00F07601" w:rsidRDefault="00D32A11" w:rsidP="00400AE1">
      <w:pPr>
        <w:spacing w:line="276" w:lineRule="auto"/>
        <w:jc w:val="both"/>
        <w:rPr>
          <w:rFonts w:ascii="Arial" w:eastAsia="Arial Unicode MS" w:hAnsi="Arial" w:cs="Arial"/>
          <w:b/>
          <w:bCs/>
        </w:rPr>
      </w:pPr>
      <w:r>
        <w:rPr>
          <w:rFonts w:ascii="Arial" w:eastAsia="Arial Unicode MS" w:hAnsi="Arial" w:cs="Arial"/>
          <w:b/>
          <w:bCs/>
        </w:rPr>
        <w:t>TERCERO</w:t>
      </w:r>
      <w:r w:rsidRPr="00F07601">
        <w:rPr>
          <w:rFonts w:ascii="Arial" w:eastAsia="Arial Unicode MS" w:hAnsi="Arial" w:cs="Arial"/>
          <w:b/>
          <w:bCs/>
        </w:rPr>
        <w:t xml:space="preserve">. </w:t>
      </w:r>
      <w:r w:rsidRPr="00F07601">
        <w:rPr>
          <w:rFonts w:ascii="Arial" w:eastAsia="Arial Unicode MS" w:hAnsi="Arial" w:cs="Arial"/>
        </w:rPr>
        <w:t xml:space="preserve">Que el día 22 de octubre del año 2021, en sesión correspondiente al tercer Periodo Extraordinario de Sesiones del tercer año del Ejercicio Constitucional de la Sexagésima Cuarta Legislatura del Honorable Congreso del Estado de Oaxaca, las </w:t>
      </w:r>
      <w:r w:rsidR="00C53130">
        <w:rPr>
          <w:rFonts w:ascii="Arial" w:eastAsia="Arial Unicode MS" w:hAnsi="Arial" w:cs="Arial"/>
        </w:rPr>
        <w:t xml:space="preserve">diputadas </w:t>
      </w:r>
      <w:r>
        <w:rPr>
          <w:rFonts w:ascii="Arial" w:eastAsia="Arial Unicode MS" w:hAnsi="Arial" w:cs="Arial"/>
        </w:rPr>
        <w:t>y los diputados de la L</w:t>
      </w:r>
      <w:r w:rsidRPr="00F07601">
        <w:rPr>
          <w:rFonts w:ascii="Arial" w:eastAsia="Arial Unicode MS" w:hAnsi="Arial" w:cs="Arial"/>
        </w:rPr>
        <w:t>egislatura mencionada</w:t>
      </w:r>
      <w:r w:rsidR="00C53130">
        <w:rPr>
          <w:rFonts w:ascii="Arial" w:eastAsia="Arial Unicode MS" w:hAnsi="Arial" w:cs="Arial"/>
        </w:rPr>
        <w:t>,</w:t>
      </w:r>
      <w:r w:rsidRPr="00F07601">
        <w:rPr>
          <w:rFonts w:ascii="Arial" w:eastAsia="Arial Unicode MS" w:hAnsi="Arial" w:cs="Arial"/>
        </w:rPr>
        <w:t xml:space="preserve"> tuvieron a bien </w:t>
      </w:r>
      <w:r>
        <w:rPr>
          <w:rFonts w:ascii="Arial" w:eastAsia="Arial Unicode MS" w:hAnsi="Arial" w:cs="Arial"/>
        </w:rPr>
        <w:t>elegir</w:t>
      </w:r>
      <w:r w:rsidRPr="00F07601">
        <w:rPr>
          <w:rFonts w:ascii="Arial" w:eastAsia="Arial Unicode MS" w:hAnsi="Arial" w:cs="Arial"/>
        </w:rPr>
        <w:t xml:space="preserve"> a </w:t>
      </w:r>
      <w:r>
        <w:rPr>
          <w:rFonts w:ascii="Arial" w:eastAsia="Arial Unicode MS" w:hAnsi="Arial" w:cs="Arial"/>
        </w:rPr>
        <w:t>las Comisionadas y los Comisionado</w:t>
      </w:r>
      <w:r w:rsidRPr="00F07601">
        <w:rPr>
          <w:rFonts w:ascii="Arial" w:eastAsia="Arial Unicode MS" w:hAnsi="Arial" w:cs="Arial"/>
        </w:rPr>
        <w:t>s del Órgano Garante de Acceso a la Información Pública, Transparencia, Protección de Datos Personales y Buen Gobierno del Estado de Oaxaca</w:t>
      </w:r>
      <w:r w:rsidRPr="00F07601">
        <w:rPr>
          <w:rFonts w:ascii="Arial" w:eastAsia="Arial Unicode MS" w:hAnsi="Arial" w:cs="Arial"/>
          <w:b/>
          <w:bCs/>
        </w:rPr>
        <w:t>.</w:t>
      </w:r>
    </w:p>
    <w:p w14:paraId="4CC985D1" w14:textId="77777777" w:rsidR="00D32A11" w:rsidRPr="00F07601" w:rsidRDefault="00D32A11" w:rsidP="00400AE1">
      <w:pPr>
        <w:pStyle w:val="Prrafodelista"/>
        <w:spacing w:line="276" w:lineRule="auto"/>
        <w:jc w:val="both"/>
        <w:rPr>
          <w:rFonts w:ascii="Arial" w:eastAsia="Arial Unicode MS" w:hAnsi="Arial" w:cs="Arial"/>
          <w:b/>
          <w:bCs/>
        </w:rPr>
      </w:pPr>
    </w:p>
    <w:p w14:paraId="1EA9DFB2" w14:textId="77777777" w:rsidR="006F14C1" w:rsidRDefault="00D32A11" w:rsidP="00400AE1">
      <w:pPr>
        <w:pStyle w:val="Prrafodelista"/>
        <w:spacing w:line="276" w:lineRule="auto"/>
        <w:ind w:left="0"/>
        <w:jc w:val="both"/>
        <w:rPr>
          <w:rFonts w:ascii="Arial" w:hAnsi="Arial" w:cs="Arial"/>
        </w:rPr>
      </w:pPr>
      <w:r>
        <w:rPr>
          <w:rFonts w:ascii="Arial" w:eastAsia="Arial Unicode MS" w:hAnsi="Arial" w:cs="Arial"/>
          <w:b/>
          <w:bCs/>
        </w:rPr>
        <w:t>CUARTO</w:t>
      </w:r>
      <w:r w:rsidRPr="00F07601">
        <w:rPr>
          <w:rFonts w:ascii="Arial" w:eastAsia="Arial Unicode MS" w:hAnsi="Arial" w:cs="Arial"/>
          <w:b/>
          <w:bCs/>
        </w:rPr>
        <w:t xml:space="preserve">. </w:t>
      </w:r>
      <w:bookmarkStart w:id="1" w:name="_Hlk89344512"/>
      <w:r w:rsidRPr="00F07601">
        <w:rPr>
          <w:rFonts w:ascii="Arial" w:eastAsia="Arial Unicode MS" w:hAnsi="Arial" w:cs="Arial"/>
        </w:rPr>
        <w:t xml:space="preserve">Que </w:t>
      </w:r>
      <w:r>
        <w:rPr>
          <w:rFonts w:ascii="Arial" w:eastAsia="Arial Unicode MS" w:hAnsi="Arial" w:cs="Arial"/>
        </w:rPr>
        <w:t xml:space="preserve">el día </w:t>
      </w:r>
      <w:r w:rsidRPr="00F07601">
        <w:rPr>
          <w:rFonts w:ascii="Arial" w:eastAsia="Arial Unicode MS" w:hAnsi="Arial" w:cs="Arial"/>
        </w:rPr>
        <w:t>27 de octubre del año 2021</w:t>
      </w:r>
      <w:r>
        <w:rPr>
          <w:rFonts w:ascii="Arial" w:eastAsia="Arial Unicode MS" w:hAnsi="Arial" w:cs="Arial"/>
        </w:rPr>
        <w:t>,</w:t>
      </w:r>
      <w:r w:rsidRPr="00F07601">
        <w:rPr>
          <w:rFonts w:ascii="Arial" w:eastAsia="Arial Unicode MS" w:hAnsi="Arial" w:cs="Arial"/>
        </w:rPr>
        <w:t xml:space="preserve"> </w:t>
      </w:r>
      <w:r w:rsidR="00C53130">
        <w:rPr>
          <w:rFonts w:ascii="Arial" w:eastAsia="Arial Unicode MS" w:hAnsi="Arial" w:cs="Arial"/>
        </w:rPr>
        <w:t>en</w:t>
      </w:r>
      <w:r>
        <w:rPr>
          <w:rFonts w:ascii="Arial" w:eastAsia="Arial Unicode MS" w:hAnsi="Arial" w:cs="Arial"/>
        </w:rPr>
        <w:t xml:space="preserve"> Sesión Solemne </w:t>
      </w:r>
      <w:r w:rsidRPr="00F07601">
        <w:rPr>
          <w:rFonts w:ascii="Arial" w:eastAsia="Arial Unicode MS" w:hAnsi="Arial" w:cs="Arial"/>
        </w:rPr>
        <w:t>el Órgano Garante de Acceso a la Información Pública, Transparencia, Protección de Datos Personales y Buen Gobierno del Estado de Oaxaca, inició sus funciones legales, en dicho</w:t>
      </w:r>
      <w:r>
        <w:rPr>
          <w:rFonts w:ascii="Arial" w:eastAsia="Arial Unicode MS" w:hAnsi="Arial" w:cs="Arial"/>
        </w:rPr>
        <w:t xml:space="preserve"> </w:t>
      </w:r>
      <w:r w:rsidRPr="00F07601">
        <w:rPr>
          <w:rFonts w:ascii="Arial" w:eastAsia="Arial Unicode MS" w:hAnsi="Arial" w:cs="Arial"/>
        </w:rPr>
        <w:t xml:space="preserve">acto protocolario </w:t>
      </w:r>
      <w:r>
        <w:rPr>
          <w:rFonts w:ascii="Arial" w:eastAsia="Arial Unicode MS" w:hAnsi="Arial" w:cs="Arial"/>
        </w:rPr>
        <w:t xml:space="preserve">las </w:t>
      </w:r>
      <w:r w:rsidR="00C53130">
        <w:rPr>
          <w:rFonts w:ascii="Arial" w:eastAsia="Arial Unicode MS" w:hAnsi="Arial" w:cs="Arial"/>
        </w:rPr>
        <w:t>C</w:t>
      </w:r>
      <w:r>
        <w:rPr>
          <w:rFonts w:ascii="Arial" w:eastAsia="Arial Unicode MS" w:hAnsi="Arial" w:cs="Arial"/>
        </w:rPr>
        <w:t xml:space="preserve">omisionadas y los </w:t>
      </w:r>
      <w:r w:rsidR="00C53130">
        <w:rPr>
          <w:rFonts w:ascii="Arial" w:eastAsia="Arial Unicode MS" w:hAnsi="Arial" w:cs="Arial"/>
        </w:rPr>
        <w:t>C</w:t>
      </w:r>
      <w:r>
        <w:rPr>
          <w:rFonts w:ascii="Arial" w:eastAsia="Arial Unicode MS" w:hAnsi="Arial" w:cs="Arial"/>
        </w:rPr>
        <w:t>omisionados nombraron al C</w:t>
      </w:r>
      <w:r>
        <w:rPr>
          <w:rFonts w:ascii="Arial" w:eastAsia="MS Mincho" w:hAnsi="Arial" w:cs="Arial"/>
          <w:sz w:val="22"/>
          <w:szCs w:val="22"/>
          <w:lang w:val="es-ES" w:eastAsia="es-ES"/>
        </w:rPr>
        <w:t xml:space="preserve">. </w:t>
      </w:r>
      <w:r w:rsidRPr="000B5496">
        <w:rPr>
          <w:rFonts w:ascii="Arial" w:eastAsia="MS Mincho" w:hAnsi="Arial" w:cs="Arial"/>
          <w:lang w:val="es-ES" w:eastAsia="es-ES"/>
        </w:rPr>
        <w:t xml:space="preserve">José Luis </w:t>
      </w:r>
      <w:r w:rsidR="00044D2B">
        <w:rPr>
          <w:rFonts w:ascii="Arial" w:eastAsia="MS Mincho" w:hAnsi="Arial" w:cs="Arial"/>
          <w:lang w:val="es-ES" w:eastAsia="es-ES"/>
        </w:rPr>
        <w:t>Echeverría</w:t>
      </w:r>
      <w:r w:rsidRPr="000B5496">
        <w:rPr>
          <w:rFonts w:ascii="Arial" w:eastAsia="MS Mincho" w:hAnsi="Arial" w:cs="Arial"/>
          <w:lang w:val="es-ES" w:eastAsia="es-ES"/>
        </w:rPr>
        <w:t xml:space="preserve"> Morales como Comisionado </w:t>
      </w:r>
      <w:proofErr w:type="gramStart"/>
      <w:r w:rsidRPr="000B5496">
        <w:rPr>
          <w:rFonts w:ascii="Arial" w:eastAsia="MS Mincho" w:hAnsi="Arial" w:cs="Arial"/>
          <w:lang w:val="es-ES" w:eastAsia="es-ES"/>
        </w:rPr>
        <w:t>Presidente</w:t>
      </w:r>
      <w:proofErr w:type="gramEnd"/>
      <w:r w:rsidRPr="000B5496">
        <w:rPr>
          <w:rFonts w:ascii="Arial" w:eastAsia="MS Mincho" w:hAnsi="Arial" w:cs="Arial"/>
          <w:lang w:val="es-ES" w:eastAsia="es-ES"/>
        </w:rPr>
        <w:t xml:space="preserve"> de este Órgano Garante</w:t>
      </w:r>
      <w:bookmarkEnd w:id="1"/>
      <w:r>
        <w:rPr>
          <w:rFonts w:ascii="Arial" w:hAnsi="Arial" w:cs="Arial"/>
        </w:rPr>
        <w:t xml:space="preserve">; </w:t>
      </w:r>
    </w:p>
    <w:p w14:paraId="30F912DA" w14:textId="77777777" w:rsidR="006F14C1" w:rsidRDefault="006F14C1" w:rsidP="00400AE1">
      <w:pPr>
        <w:pStyle w:val="Prrafodelista"/>
        <w:spacing w:line="276" w:lineRule="auto"/>
        <w:ind w:left="0"/>
        <w:jc w:val="both"/>
        <w:rPr>
          <w:rFonts w:ascii="Arial" w:hAnsi="Arial" w:cs="Arial"/>
        </w:rPr>
      </w:pPr>
    </w:p>
    <w:p w14:paraId="7E293537" w14:textId="77777777" w:rsidR="006F14C1" w:rsidRDefault="006F14C1" w:rsidP="00400AE1">
      <w:pPr>
        <w:pStyle w:val="Prrafodelista"/>
        <w:spacing w:line="276" w:lineRule="auto"/>
        <w:ind w:left="0"/>
        <w:jc w:val="both"/>
        <w:rPr>
          <w:rFonts w:ascii="Arial" w:hAnsi="Arial" w:cs="Arial"/>
        </w:rPr>
      </w:pPr>
    </w:p>
    <w:p w14:paraId="409DD840" w14:textId="77777777" w:rsidR="00583811" w:rsidRPr="00F348BF" w:rsidRDefault="00583811" w:rsidP="00400AE1">
      <w:pPr>
        <w:pStyle w:val="Prrafodelista"/>
        <w:spacing w:line="276" w:lineRule="auto"/>
        <w:ind w:left="0"/>
        <w:jc w:val="both"/>
        <w:rPr>
          <w:rFonts w:ascii="Arial" w:eastAsia="Arial Unicode MS" w:hAnsi="Arial" w:cs="Arial"/>
          <w:bCs/>
        </w:rPr>
      </w:pPr>
    </w:p>
    <w:p w14:paraId="5CE9F78E" w14:textId="7BC02947" w:rsidR="00716AEA" w:rsidRPr="008E26B7" w:rsidRDefault="00C31900" w:rsidP="008E26B7">
      <w:pPr>
        <w:shd w:val="clear" w:color="auto" w:fill="FFFFFF"/>
        <w:spacing w:after="225" w:line="276"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lastRenderedPageBreak/>
        <w:t>C</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O</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N</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S</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I</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D</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E</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R</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A</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N</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D</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O</w:t>
      </w:r>
      <w:r w:rsidR="000C3987">
        <w:rPr>
          <w:rFonts w:ascii="Arial" w:eastAsia="Times New Roman" w:hAnsi="Arial" w:cs="Arial"/>
          <w:b/>
          <w:bCs/>
          <w:color w:val="000000"/>
          <w:lang w:eastAsia="es-MX"/>
        </w:rPr>
        <w:t xml:space="preserve"> </w:t>
      </w:r>
      <w:r>
        <w:rPr>
          <w:rFonts w:ascii="Arial" w:eastAsia="Times New Roman" w:hAnsi="Arial" w:cs="Arial"/>
          <w:b/>
          <w:bCs/>
          <w:color w:val="000000"/>
          <w:lang w:eastAsia="es-MX"/>
        </w:rPr>
        <w:t>S</w:t>
      </w:r>
      <w:r w:rsidR="000C3987">
        <w:rPr>
          <w:rFonts w:ascii="Arial" w:eastAsia="Times New Roman" w:hAnsi="Arial" w:cs="Arial"/>
          <w:b/>
          <w:bCs/>
          <w:color w:val="000000"/>
          <w:lang w:eastAsia="es-MX"/>
        </w:rPr>
        <w:t>:</w:t>
      </w:r>
      <w:bookmarkStart w:id="2" w:name="_Hlk89159941"/>
    </w:p>
    <w:bookmarkEnd w:id="2"/>
    <w:p w14:paraId="61C887EC" w14:textId="4E10C46B" w:rsidR="00D32A11" w:rsidRPr="00400AE1" w:rsidRDefault="008E26B7" w:rsidP="00400AE1">
      <w:pPr>
        <w:spacing w:line="276" w:lineRule="auto"/>
        <w:jc w:val="both"/>
        <w:rPr>
          <w:rFonts w:ascii="Arial" w:eastAsia="Arial Unicode MS" w:hAnsi="Arial" w:cs="Arial"/>
        </w:rPr>
      </w:pPr>
      <w:r>
        <w:rPr>
          <w:rFonts w:ascii="Arial" w:eastAsia="Times New Roman" w:hAnsi="Arial" w:cs="Arial"/>
          <w:b/>
          <w:bCs/>
          <w:color w:val="000000"/>
          <w:lang w:eastAsia="es-MX"/>
        </w:rPr>
        <w:t>PRIMERO</w:t>
      </w:r>
      <w:r w:rsidR="00716AEA" w:rsidRPr="00400AE1">
        <w:rPr>
          <w:rFonts w:ascii="Arial" w:eastAsia="Times New Roman" w:hAnsi="Arial" w:cs="Arial"/>
          <w:b/>
          <w:bCs/>
          <w:color w:val="000000"/>
          <w:lang w:eastAsia="es-MX"/>
        </w:rPr>
        <w:t>.</w:t>
      </w:r>
      <w:r w:rsidR="00716AEA" w:rsidRPr="00400AE1">
        <w:rPr>
          <w:rFonts w:ascii="Arial" w:eastAsia="Arial Unicode MS" w:hAnsi="Arial" w:cs="Arial"/>
        </w:rPr>
        <w:t xml:space="preserve"> </w:t>
      </w:r>
      <w:r w:rsidR="00D32A11" w:rsidRPr="00400AE1">
        <w:rPr>
          <w:rFonts w:ascii="Arial" w:eastAsia="Times New Roman" w:hAnsi="Arial" w:cs="Arial"/>
          <w:color w:val="000000"/>
          <w:lang w:eastAsia="es-MX"/>
        </w:rPr>
        <w:t>Que el artículo 74 de la Ley de Transparencia, Acceso a la Información Pública y Buen Gobierno del Estado de Oaxaca, establece que e</w:t>
      </w:r>
      <w:r w:rsidR="00D32A11" w:rsidRPr="00400AE1">
        <w:rPr>
          <w:rFonts w:ascii="Arial" w:hAnsi="Arial" w:cs="Arial"/>
        </w:rPr>
        <w:t xml:space="preserve">l Órgano Garante, es un órgano autónomo del </w:t>
      </w:r>
      <w:r>
        <w:rPr>
          <w:rFonts w:ascii="Arial" w:hAnsi="Arial" w:cs="Arial"/>
        </w:rPr>
        <w:t>E</w:t>
      </w:r>
      <w:r w:rsidR="00D32A11" w:rsidRPr="00400AE1">
        <w:rPr>
          <w:rFonts w:ascii="Arial" w:hAnsi="Arial" w:cs="Arial"/>
        </w:rPr>
        <w:t>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14:paraId="51E84D85" w14:textId="77777777" w:rsidR="00716AEA" w:rsidRPr="00400AE1" w:rsidRDefault="00716AEA" w:rsidP="00400AE1">
      <w:pPr>
        <w:spacing w:line="276" w:lineRule="auto"/>
        <w:jc w:val="both"/>
        <w:rPr>
          <w:rFonts w:ascii="Arial" w:eastAsia="Arial Unicode MS" w:hAnsi="Arial" w:cs="Arial"/>
          <w:b/>
        </w:rPr>
      </w:pPr>
    </w:p>
    <w:p w14:paraId="59255405" w14:textId="2910998B" w:rsidR="008E26B7" w:rsidRDefault="008E26B7" w:rsidP="00400AE1">
      <w:pPr>
        <w:spacing w:line="276" w:lineRule="auto"/>
        <w:jc w:val="both"/>
        <w:rPr>
          <w:rFonts w:ascii="Arial" w:eastAsia="Arial Unicode MS" w:hAnsi="Arial" w:cs="Arial"/>
        </w:rPr>
      </w:pPr>
      <w:r>
        <w:rPr>
          <w:rFonts w:ascii="Arial" w:eastAsia="Arial Unicode MS" w:hAnsi="Arial" w:cs="Arial"/>
          <w:b/>
        </w:rPr>
        <w:t>SEGUNDO</w:t>
      </w:r>
      <w:r w:rsidR="00D32A11" w:rsidRPr="00400AE1">
        <w:rPr>
          <w:rFonts w:ascii="Arial" w:eastAsia="Arial Unicode MS" w:hAnsi="Arial" w:cs="Arial"/>
          <w:b/>
        </w:rPr>
        <w:t>.</w:t>
      </w:r>
      <w:r w:rsidR="00D32A11" w:rsidRPr="00400AE1">
        <w:rPr>
          <w:rFonts w:ascii="Arial" w:eastAsia="Arial Unicode MS" w:hAnsi="Arial" w:cs="Arial"/>
        </w:rPr>
        <w:t xml:space="preserve"> Que </w:t>
      </w:r>
      <w:r>
        <w:rPr>
          <w:rFonts w:ascii="Arial" w:eastAsia="Arial Unicode MS" w:hAnsi="Arial" w:cs="Arial"/>
        </w:rPr>
        <w:t>los</w:t>
      </w:r>
      <w:r w:rsidR="00D32A11" w:rsidRPr="00400AE1">
        <w:rPr>
          <w:rFonts w:ascii="Arial" w:eastAsia="Arial Unicode MS" w:hAnsi="Arial" w:cs="Arial"/>
        </w:rPr>
        <w:t xml:space="preserve"> artículo</w:t>
      </w:r>
      <w:r>
        <w:rPr>
          <w:rFonts w:ascii="Arial" w:eastAsia="Arial Unicode MS" w:hAnsi="Arial" w:cs="Arial"/>
        </w:rPr>
        <w:t>s</w:t>
      </w:r>
      <w:r w:rsidR="00D32A11" w:rsidRPr="00400AE1">
        <w:rPr>
          <w:rFonts w:ascii="Arial" w:eastAsia="Arial Unicode MS" w:hAnsi="Arial" w:cs="Arial"/>
        </w:rPr>
        <w:t xml:space="preserve"> </w:t>
      </w:r>
      <w:r>
        <w:rPr>
          <w:rFonts w:ascii="Arial" w:eastAsia="Arial Unicode MS" w:hAnsi="Arial" w:cs="Arial"/>
        </w:rPr>
        <w:t>63</w:t>
      </w:r>
      <w:r w:rsidR="00D32A11" w:rsidRPr="00400AE1">
        <w:rPr>
          <w:rFonts w:ascii="Arial" w:eastAsia="Arial Unicode MS" w:hAnsi="Arial" w:cs="Arial"/>
        </w:rPr>
        <w:t xml:space="preserve"> </w:t>
      </w:r>
      <w:r>
        <w:rPr>
          <w:rFonts w:ascii="Arial" w:eastAsia="Arial Unicode MS" w:hAnsi="Arial" w:cs="Arial"/>
        </w:rPr>
        <w:t xml:space="preserve">y 85 </w:t>
      </w:r>
      <w:r w:rsidR="00D32A11" w:rsidRPr="00400AE1">
        <w:rPr>
          <w:rFonts w:ascii="Arial" w:eastAsia="Arial Unicode MS" w:hAnsi="Arial" w:cs="Arial"/>
        </w:rPr>
        <w:t xml:space="preserve">de la </w:t>
      </w:r>
      <w:r w:rsidR="00D32A11" w:rsidRPr="00400AE1">
        <w:rPr>
          <w:rFonts w:ascii="Arial" w:eastAsia="Times New Roman" w:hAnsi="Arial" w:cs="Arial"/>
          <w:color w:val="000000"/>
          <w:lang w:eastAsia="es-MX"/>
        </w:rPr>
        <w:t xml:space="preserve">Ley </w:t>
      </w:r>
      <w:r>
        <w:rPr>
          <w:rFonts w:ascii="Arial" w:eastAsia="Times New Roman" w:hAnsi="Arial" w:cs="Arial"/>
          <w:color w:val="000000"/>
          <w:lang w:eastAsia="es-MX"/>
        </w:rPr>
        <w:t>General de Transparencia y Acceso a la Información Pública</w:t>
      </w:r>
      <w:r w:rsidR="00D32A11" w:rsidRPr="00400AE1">
        <w:rPr>
          <w:rFonts w:ascii="Arial" w:eastAsia="Times New Roman" w:hAnsi="Arial" w:cs="Arial"/>
          <w:color w:val="000000"/>
          <w:lang w:eastAsia="es-MX"/>
        </w:rPr>
        <w:t xml:space="preserve">, </w:t>
      </w:r>
      <w:r w:rsidR="00D32A11" w:rsidRPr="00400AE1">
        <w:rPr>
          <w:rFonts w:ascii="Arial" w:eastAsia="Arial Unicode MS" w:hAnsi="Arial" w:cs="Arial"/>
        </w:rPr>
        <w:t>establece que</w:t>
      </w:r>
      <w:r>
        <w:rPr>
          <w:rFonts w:ascii="Arial" w:eastAsia="Arial Unicode MS" w:hAnsi="Arial" w:cs="Arial"/>
        </w:rPr>
        <w:t>;</w:t>
      </w:r>
    </w:p>
    <w:p w14:paraId="384DF141" w14:textId="77777777" w:rsidR="008E26B7" w:rsidRDefault="008E26B7" w:rsidP="008E26B7">
      <w:pPr>
        <w:spacing w:line="276" w:lineRule="auto"/>
        <w:ind w:left="1134" w:right="1185"/>
        <w:jc w:val="both"/>
        <w:rPr>
          <w:i/>
          <w:iCs/>
          <w:sz w:val="20"/>
          <w:szCs w:val="20"/>
        </w:rPr>
      </w:pPr>
    </w:p>
    <w:p w14:paraId="2E2DBB8C" w14:textId="1B6B5A64" w:rsidR="008E26B7" w:rsidRPr="008E26B7" w:rsidRDefault="008E26B7" w:rsidP="008E26B7">
      <w:pPr>
        <w:spacing w:line="276" w:lineRule="auto"/>
        <w:ind w:left="1134" w:right="1185"/>
        <w:jc w:val="both"/>
        <w:rPr>
          <w:rFonts w:ascii="Arial" w:eastAsia="Arial Unicode MS" w:hAnsi="Arial" w:cs="Arial"/>
          <w:i/>
          <w:iCs/>
          <w:sz w:val="20"/>
          <w:szCs w:val="20"/>
        </w:rPr>
      </w:pPr>
      <w:r w:rsidRPr="008E26B7">
        <w:rPr>
          <w:rFonts w:ascii="Arial" w:hAnsi="Arial" w:cs="Arial"/>
          <w:i/>
          <w:iCs/>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w:t>
      </w:r>
      <w:r w:rsidR="00B350EC" w:rsidRPr="008E26B7">
        <w:rPr>
          <w:rFonts w:ascii="Arial" w:hAnsi="Arial" w:cs="Arial"/>
          <w:i/>
          <w:iCs/>
          <w:sz w:val="20"/>
          <w:szCs w:val="20"/>
        </w:rPr>
        <w:t>…” (</w:t>
      </w:r>
      <w:r w:rsidRPr="008E26B7">
        <w:rPr>
          <w:rFonts w:ascii="Arial" w:hAnsi="Arial" w:cs="Arial"/>
          <w:i/>
          <w:iCs/>
          <w:sz w:val="20"/>
          <w:szCs w:val="20"/>
        </w:rPr>
        <w:t>sic)</w:t>
      </w:r>
    </w:p>
    <w:p w14:paraId="053F82F2" w14:textId="77777777" w:rsidR="008E26B7" w:rsidRPr="008E26B7" w:rsidRDefault="008E26B7" w:rsidP="00400AE1">
      <w:pPr>
        <w:spacing w:line="276" w:lineRule="auto"/>
        <w:jc w:val="both"/>
        <w:rPr>
          <w:rFonts w:ascii="Arial" w:eastAsia="Arial Unicode MS" w:hAnsi="Arial" w:cs="Arial"/>
          <w:i/>
          <w:iCs/>
          <w:sz w:val="20"/>
          <w:szCs w:val="20"/>
        </w:rPr>
      </w:pPr>
    </w:p>
    <w:p w14:paraId="1D2D5F35" w14:textId="77777777" w:rsidR="008E26B7" w:rsidRPr="008E26B7" w:rsidRDefault="008E26B7" w:rsidP="008E26B7">
      <w:pPr>
        <w:spacing w:line="276" w:lineRule="auto"/>
        <w:ind w:left="1134" w:right="1185"/>
        <w:jc w:val="both"/>
        <w:rPr>
          <w:i/>
          <w:iCs/>
          <w:sz w:val="20"/>
          <w:szCs w:val="20"/>
        </w:rPr>
      </w:pPr>
    </w:p>
    <w:p w14:paraId="768900B5" w14:textId="1E258D04" w:rsidR="00122FB4" w:rsidRPr="008E26B7" w:rsidRDefault="008E26B7" w:rsidP="008E26B7">
      <w:pPr>
        <w:spacing w:line="276" w:lineRule="auto"/>
        <w:ind w:left="1134" w:right="1185"/>
        <w:jc w:val="both"/>
        <w:rPr>
          <w:rFonts w:ascii="Arial" w:hAnsi="Arial" w:cs="Arial"/>
          <w:i/>
          <w:iCs/>
          <w:sz w:val="20"/>
          <w:szCs w:val="20"/>
        </w:rPr>
      </w:pPr>
      <w:r w:rsidRPr="008E26B7">
        <w:rPr>
          <w:rFonts w:ascii="Arial" w:hAnsi="Arial" w:cs="Arial"/>
          <w:i/>
          <w:iCs/>
          <w:sz w:val="20"/>
          <w:szCs w:val="20"/>
        </w:rPr>
        <w:t>“…</w:t>
      </w:r>
      <w:r w:rsidR="00D32A11" w:rsidRPr="008E26B7">
        <w:rPr>
          <w:rFonts w:ascii="Arial" w:eastAsia="Arial Unicode MS" w:hAnsi="Arial" w:cs="Arial"/>
          <w:i/>
          <w:iCs/>
          <w:sz w:val="20"/>
          <w:szCs w:val="20"/>
        </w:rPr>
        <w:t xml:space="preserve"> </w:t>
      </w:r>
      <w:r w:rsidRPr="008E26B7">
        <w:rPr>
          <w:rFonts w:ascii="Arial" w:hAnsi="Arial" w:cs="Arial"/>
          <w:i/>
          <w:iCs/>
          <w:sz w:val="20"/>
          <w:szCs w:val="20"/>
        </w:rPr>
        <w:t xml:space="preserve">Artículo 85. Los Organismos garantes vigilarán que las obligaciones de transparencia que publiquen los sujetos obligados cumplan con lo dispuesto en los artículos 70 a 83 de esta Ley y demás disposiciones aplicables. </w:t>
      </w:r>
      <w:r w:rsidR="00B350EC" w:rsidRPr="008E26B7">
        <w:rPr>
          <w:rFonts w:ascii="Arial" w:hAnsi="Arial" w:cs="Arial"/>
          <w:i/>
          <w:iCs/>
          <w:sz w:val="20"/>
          <w:szCs w:val="20"/>
        </w:rPr>
        <w:t>…” (</w:t>
      </w:r>
      <w:r w:rsidRPr="008E26B7">
        <w:rPr>
          <w:rFonts w:ascii="Arial" w:hAnsi="Arial" w:cs="Arial"/>
          <w:i/>
          <w:iCs/>
          <w:sz w:val="20"/>
          <w:szCs w:val="20"/>
        </w:rPr>
        <w:t>sic)</w:t>
      </w:r>
    </w:p>
    <w:p w14:paraId="1088BF36" w14:textId="77777777" w:rsidR="00122FB4" w:rsidRPr="00400AE1" w:rsidRDefault="00122FB4" w:rsidP="00400AE1">
      <w:pPr>
        <w:spacing w:line="276" w:lineRule="auto"/>
        <w:jc w:val="both"/>
        <w:rPr>
          <w:rFonts w:ascii="Arial" w:hAnsi="Arial" w:cs="Arial"/>
        </w:rPr>
      </w:pPr>
    </w:p>
    <w:p w14:paraId="2333ABB9" w14:textId="053A4C59" w:rsidR="00400AE1" w:rsidRPr="003C7A04" w:rsidRDefault="001438BD" w:rsidP="00400AE1">
      <w:pPr>
        <w:spacing w:line="276" w:lineRule="auto"/>
        <w:jc w:val="both"/>
        <w:rPr>
          <w:rFonts w:ascii="Arial" w:eastAsia="Arial Unicode MS" w:hAnsi="Arial" w:cs="Arial"/>
        </w:rPr>
      </w:pPr>
      <w:r>
        <w:rPr>
          <w:rFonts w:ascii="Arial" w:eastAsia="Arial Unicode MS" w:hAnsi="Arial" w:cs="Arial"/>
          <w:b/>
        </w:rPr>
        <w:t>TERCERO</w:t>
      </w:r>
      <w:r w:rsidR="00400AE1" w:rsidRPr="003C7A04">
        <w:rPr>
          <w:rFonts w:ascii="Arial" w:eastAsia="Arial Unicode MS" w:hAnsi="Arial" w:cs="Arial"/>
          <w:b/>
        </w:rPr>
        <w:t>.</w:t>
      </w:r>
      <w:r w:rsidR="00400AE1" w:rsidRPr="003C7A04">
        <w:rPr>
          <w:rFonts w:ascii="Arial" w:eastAsia="Arial Unicode MS" w:hAnsi="Arial" w:cs="Arial"/>
        </w:rPr>
        <w:t xml:space="preserve"> Que el artículo </w:t>
      </w:r>
      <w:r w:rsidR="003D137F">
        <w:rPr>
          <w:rFonts w:ascii="Arial" w:eastAsia="Arial Unicode MS" w:hAnsi="Arial" w:cs="Arial"/>
        </w:rPr>
        <w:t>86</w:t>
      </w:r>
      <w:r w:rsidR="001E75AA">
        <w:rPr>
          <w:rFonts w:ascii="Arial" w:eastAsia="Arial Unicode MS" w:hAnsi="Arial" w:cs="Arial"/>
        </w:rPr>
        <w:t xml:space="preserve">, </w:t>
      </w:r>
      <w:r w:rsidR="003D137F">
        <w:rPr>
          <w:rFonts w:ascii="Arial" w:eastAsia="Arial Unicode MS" w:hAnsi="Arial" w:cs="Arial"/>
        </w:rPr>
        <w:t>88</w:t>
      </w:r>
      <w:r w:rsidR="001E75AA">
        <w:rPr>
          <w:rFonts w:ascii="Arial" w:eastAsia="Arial Unicode MS" w:hAnsi="Arial" w:cs="Arial"/>
        </w:rPr>
        <w:t xml:space="preserve"> fracción II, párrafo segundo de</w:t>
      </w:r>
      <w:r w:rsidR="003D137F">
        <w:rPr>
          <w:rFonts w:ascii="Arial" w:eastAsia="Arial Unicode MS" w:hAnsi="Arial" w:cs="Arial"/>
        </w:rPr>
        <w:t xml:space="preserve"> </w:t>
      </w:r>
      <w:r w:rsidR="003D137F" w:rsidRPr="00400AE1">
        <w:rPr>
          <w:rFonts w:ascii="Arial" w:eastAsia="Arial Unicode MS" w:hAnsi="Arial" w:cs="Arial"/>
        </w:rPr>
        <w:t xml:space="preserve">la </w:t>
      </w:r>
      <w:r w:rsidR="003D137F" w:rsidRPr="00400AE1">
        <w:rPr>
          <w:rFonts w:ascii="Arial" w:eastAsia="Times New Roman" w:hAnsi="Arial" w:cs="Arial"/>
          <w:color w:val="000000"/>
          <w:lang w:eastAsia="es-MX"/>
        </w:rPr>
        <w:t xml:space="preserve">Ley </w:t>
      </w:r>
      <w:r w:rsidR="003D137F">
        <w:rPr>
          <w:rFonts w:ascii="Arial" w:eastAsia="Times New Roman" w:hAnsi="Arial" w:cs="Arial"/>
          <w:color w:val="000000"/>
          <w:lang w:eastAsia="es-MX"/>
        </w:rPr>
        <w:t>General de Transparencia y Acceso a la Información Pública,</w:t>
      </w:r>
      <w:r w:rsidR="003D137F" w:rsidRPr="00400AE1">
        <w:rPr>
          <w:rFonts w:ascii="Arial" w:eastAsia="Times New Roman" w:hAnsi="Arial" w:cs="Arial"/>
          <w:color w:val="000000"/>
          <w:lang w:eastAsia="es-MX"/>
        </w:rPr>
        <w:t xml:space="preserve"> </w:t>
      </w:r>
      <w:r w:rsidR="003D137F" w:rsidRPr="00400AE1">
        <w:rPr>
          <w:rFonts w:ascii="Arial" w:eastAsia="Arial Unicode MS" w:hAnsi="Arial" w:cs="Arial"/>
        </w:rPr>
        <w:t>establece</w:t>
      </w:r>
      <w:r w:rsidR="00400AE1" w:rsidRPr="003C7A04">
        <w:rPr>
          <w:rFonts w:ascii="Arial" w:eastAsia="Arial Unicode MS" w:hAnsi="Arial" w:cs="Arial"/>
        </w:rPr>
        <w:t xml:space="preserve"> que:</w:t>
      </w:r>
    </w:p>
    <w:p w14:paraId="0ECD0EFB" w14:textId="6BC476B1" w:rsidR="001E75AA" w:rsidRDefault="001E75AA" w:rsidP="00400AE1">
      <w:pPr>
        <w:spacing w:line="276" w:lineRule="auto"/>
        <w:jc w:val="both"/>
      </w:pPr>
    </w:p>
    <w:p w14:paraId="6B0A5763" w14:textId="0B18B2A0" w:rsidR="001E75AA" w:rsidRPr="001E75AA" w:rsidRDefault="00B350EC" w:rsidP="009D55A5">
      <w:pPr>
        <w:spacing w:line="276" w:lineRule="auto"/>
        <w:ind w:left="1134" w:right="1185"/>
        <w:jc w:val="both"/>
        <w:rPr>
          <w:rFonts w:ascii="Arial" w:hAnsi="Arial" w:cs="Arial"/>
          <w:i/>
          <w:iCs/>
          <w:sz w:val="20"/>
          <w:szCs w:val="20"/>
        </w:rPr>
      </w:pPr>
      <w:r>
        <w:rPr>
          <w:rFonts w:ascii="Arial" w:hAnsi="Arial" w:cs="Arial"/>
          <w:i/>
          <w:iCs/>
          <w:sz w:val="20"/>
          <w:szCs w:val="20"/>
        </w:rPr>
        <w:t xml:space="preserve">“… </w:t>
      </w:r>
      <w:r w:rsidR="001E75AA" w:rsidRPr="001E75AA">
        <w:rPr>
          <w:rFonts w:ascii="Arial" w:hAnsi="Arial" w:cs="Arial"/>
          <w:i/>
          <w:iCs/>
          <w:sz w:val="20"/>
          <w:szCs w:val="20"/>
        </w:rPr>
        <w:t>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14:paraId="365F7244" w14:textId="77777777" w:rsidR="001E75AA" w:rsidRDefault="001E75AA" w:rsidP="009D55A5">
      <w:pPr>
        <w:spacing w:line="276" w:lineRule="auto"/>
        <w:ind w:left="1134" w:right="1185"/>
        <w:jc w:val="both"/>
      </w:pPr>
    </w:p>
    <w:p w14:paraId="0275C0FD" w14:textId="77777777" w:rsidR="003D137F" w:rsidRPr="001E75AA" w:rsidRDefault="003D137F" w:rsidP="009D55A5">
      <w:pPr>
        <w:spacing w:line="276" w:lineRule="auto"/>
        <w:ind w:left="1134" w:right="1185"/>
        <w:jc w:val="both"/>
        <w:rPr>
          <w:rFonts w:ascii="Arial" w:hAnsi="Arial" w:cs="Arial"/>
          <w:i/>
          <w:iCs/>
          <w:sz w:val="20"/>
          <w:szCs w:val="20"/>
        </w:rPr>
      </w:pPr>
      <w:r w:rsidRPr="001E75AA">
        <w:rPr>
          <w:rFonts w:ascii="Arial" w:hAnsi="Arial" w:cs="Arial"/>
          <w:i/>
          <w:iCs/>
          <w:sz w:val="20"/>
          <w:szCs w:val="20"/>
        </w:rPr>
        <w:t xml:space="preserve">Artículo 88. La verificación que realicen los Organismos garantes en el ámbito de sus respectivas competencias, se sujetará a lo siguiente: </w:t>
      </w:r>
    </w:p>
    <w:p w14:paraId="1CA194E9" w14:textId="77777777" w:rsidR="003D137F" w:rsidRPr="001E75AA" w:rsidRDefault="003D137F" w:rsidP="009D55A5">
      <w:pPr>
        <w:spacing w:line="276" w:lineRule="auto"/>
        <w:ind w:left="1134" w:right="1185"/>
        <w:jc w:val="both"/>
        <w:rPr>
          <w:rFonts w:ascii="Arial" w:hAnsi="Arial" w:cs="Arial"/>
          <w:i/>
          <w:iCs/>
          <w:sz w:val="20"/>
          <w:szCs w:val="20"/>
        </w:rPr>
      </w:pPr>
    </w:p>
    <w:p w14:paraId="0CA215C4" w14:textId="1E14B627" w:rsidR="003D137F" w:rsidRPr="001E75AA" w:rsidRDefault="003D137F" w:rsidP="009D55A5">
      <w:pPr>
        <w:spacing w:line="276" w:lineRule="auto"/>
        <w:ind w:left="1134" w:right="1185"/>
        <w:jc w:val="both"/>
        <w:rPr>
          <w:rFonts w:ascii="Arial" w:hAnsi="Arial" w:cs="Arial"/>
          <w:i/>
          <w:iCs/>
          <w:sz w:val="20"/>
          <w:szCs w:val="20"/>
        </w:rPr>
      </w:pPr>
      <w:r w:rsidRPr="001E75AA">
        <w:rPr>
          <w:rFonts w:ascii="Arial" w:hAnsi="Arial" w:cs="Arial"/>
          <w:i/>
          <w:iCs/>
          <w:sz w:val="20"/>
          <w:szCs w:val="20"/>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14:paraId="1B9CC778" w14:textId="689CFD24" w:rsidR="001E75AA" w:rsidRPr="001E75AA" w:rsidRDefault="001E75AA" w:rsidP="009D55A5">
      <w:pPr>
        <w:spacing w:line="276" w:lineRule="auto"/>
        <w:ind w:left="1134" w:right="1185"/>
        <w:jc w:val="both"/>
        <w:rPr>
          <w:rFonts w:ascii="Arial" w:hAnsi="Arial" w:cs="Arial"/>
          <w:i/>
          <w:iCs/>
          <w:sz w:val="20"/>
          <w:szCs w:val="20"/>
        </w:rPr>
      </w:pPr>
    </w:p>
    <w:p w14:paraId="17323FCF" w14:textId="72FDAA35" w:rsidR="003D137F" w:rsidRDefault="001E75AA" w:rsidP="009D55A5">
      <w:pPr>
        <w:spacing w:line="276" w:lineRule="auto"/>
        <w:ind w:left="1134" w:right="1185"/>
        <w:jc w:val="both"/>
        <w:rPr>
          <w:rFonts w:ascii="Arial" w:hAnsi="Arial" w:cs="Arial"/>
          <w:i/>
          <w:iCs/>
          <w:sz w:val="20"/>
          <w:szCs w:val="20"/>
        </w:rPr>
      </w:pPr>
      <w:r w:rsidRPr="001E75AA">
        <w:rPr>
          <w:rFonts w:ascii="Arial" w:hAnsi="Arial" w:cs="Arial"/>
          <w:i/>
          <w:iCs/>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r w:rsidR="00B350EC">
        <w:rPr>
          <w:rFonts w:ascii="Arial" w:hAnsi="Arial" w:cs="Arial"/>
          <w:i/>
          <w:iCs/>
          <w:sz w:val="20"/>
          <w:szCs w:val="20"/>
        </w:rPr>
        <w:t xml:space="preserve"> …” (sic)</w:t>
      </w:r>
    </w:p>
    <w:p w14:paraId="1F4A203E" w14:textId="79C3A903" w:rsidR="00B63A12" w:rsidRDefault="00B63A12" w:rsidP="009D55A5">
      <w:pPr>
        <w:spacing w:line="276" w:lineRule="auto"/>
        <w:ind w:left="1134" w:right="1185"/>
        <w:jc w:val="both"/>
        <w:rPr>
          <w:rFonts w:ascii="Arial" w:hAnsi="Arial" w:cs="Arial"/>
          <w:i/>
          <w:iCs/>
          <w:sz w:val="20"/>
          <w:szCs w:val="20"/>
        </w:rPr>
      </w:pPr>
    </w:p>
    <w:p w14:paraId="0848721F" w14:textId="0A7DC4C8" w:rsidR="00B63A12" w:rsidRDefault="001438BD" w:rsidP="00B63A12">
      <w:pPr>
        <w:pStyle w:val="Prrafodelista"/>
        <w:spacing w:line="276" w:lineRule="auto"/>
        <w:ind w:left="0"/>
        <w:jc w:val="both"/>
        <w:rPr>
          <w:rFonts w:ascii="Arial" w:hAnsi="Arial" w:cs="Arial"/>
        </w:rPr>
      </w:pPr>
      <w:r>
        <w:rPr>
          <w:rFonts w:ascii="Arial" w:hAnsi="Arial" w:cs="Arial"/>
          <w:b/>
          <w:bCs/>
        </w:rPr>
        <w:lastRenderedPageBreak/>
        <w:t>CUARTO</w:t>
      </w:r>
      <w:r w:rsidR="00B63A12" w:rsidRPr="00B63A12">
        <w:rPr>
          <w:rFonts w:ascii="Arial" w:hAnsi="Arial" w:cs="Arial"/>
          <w:b/>
          <w:bCs/>
        </w:rPr>
        <w:t>.</w:t>
      </w:r>
      <w:r w:rsidR="00B63A12">
        <w:rPr>
          <w:rFonts w:ascii="Arial" w:hAnsi="Arial" w:cs="Arial"/>
        </w:rPr>
        <w:t xml:space="preserve"> Que en atención a</w:t>
      </w:r>
      <w:r w:rsidR="00C730F8">
        <w:rPr>
          <w:rFonts w:ascii="Arial" w:hAnsi="Arial" w:cs="Arial"/>
        </w:rPr>
        <w:t xml:space="preserve"> </w:t>
      </w:r>
      <w:r w:rsidR="00B63A12">
        <w:rPr>
          <w:rFonts w:ascii="Arial" w:hAnsi="Arial" w:cs="Arial"/>
        </w:rPr>
        <w:t>l</w:t>
      </w:r>
      <w:r w:rsidR="00C730F8">
        <w:rPr>
          <w:rFonts w:ascii="Arial" w:hAnsi="Arial" w:cs="Arial"/>
        </w:rPr>
        <w:t>os</w:t>
      </w:r>
      <w:r w:rsidR="00B63A12">
        <w:rPr>
          <w:rFonts w:ascii="Arial" w:hAnsi="Arial" w:cs="Arial"/>
        </w:rPr>
        <w:t xml:space="preserve"> </w:t>
      </w:r>
      <w:r w:rsidR="00C77984" w:rsidRPr="00C730F8">
        <w:rPr>
          <w:rFonts w:ascii="Arial" w:hAnsi="Arial" w:cs="Arial"/>
        </w:rPr>
        <w:t>dict</w:t>
      </w:r>
      <w:r w:rsidR="00C730F8" w:rsidRPr="00C730F8">
        <w:rPr>
          <w:rFonts w:ascii="Arial" w:hAnsi="Arial" w:cs="Arial"/>
        </w:rPr>
        <w:t>ámenes</w:t>
      </w:r>
      <w:r w:rsidR="007525EB">
        <w:rPr>
          <w:rFonts w:ascii="Arial" w:hAnsi="Arial" w:cs="Arial"/>
        </w:rPr>
        <w:t xml:space="preserve"> </w:t>
      </w:r>
      <w:r w:rsidR="00C77984">
        <w:rPr>
          <w:rFonts w:ascii="Arial" w:hAnsi="Arial" w:cs="Arial"/>
        </w:rPr>
        <w:t>emitido</w:t>
      </w:r>
      <w:r w:rsidR="00492CF5">
        <w:rPr>
          <w:rFonts w:ascii="Arial" w:hAnsi="Arial" w:cs="Arial"/>
        </w:rPr>
        <w:t>s</w:t>
      </w:r>
      <w:r w:rsidR="00C77984">
        <w:rPr>
          <w:rFonts w:ascii="Arial" w:hAnsi="Arial" w:cs="Arial"/>
        </w:rPr>
        <w:t xml:space="preserve"> </w:t>
      </w:r>
      <w:r w:rsidR="00B63A12">
        <w:rPr>
          <w:rFonts w:ascii="Arial" w:hAnsi="Arial" w:cs="Arial"/>
        </w:rPr>
        <w:t xml:space="preserve">la </w:t>
      </w:r>
      <w:r w:rsidR="00C77984">
        <w:rPr>
          <w:rFonts w:ascii="Arial" w:hAnsi="Arial" w:cs="Arial"/>
        </w:rPr>
        <w:t xml:space="preserve">C. Mildred Fabiola Estrada Rubio </w:t>
      </w:r>
      <w:r w:rsidR="007525EB">
        <w:rPr>
          <w:rFonts w:ascii="Arial" w:hAnsi="Arial" w:cs="Arial"/>
        </w:rPr>
        <w:t xml:space="preserve">Titular de la Dirección de </w:t>
      </w:r>
      <w:r w:rsidR="00B350EC">
        <w:rPr>
          <w:rFonts w:ascii="Arial" w:hAnsi="Arial" w:cs="Arial"/>
        </w:rPr>
        <w:t xml:space="preserve">Comunicación, Capacitación, Evaluación, Archivo y Datos Personales </w:t>
      </w:r>
      <w:r w:rsidR="00B63A12">
        <w:rPr>
          <w:rFonts w:ascii="Arial" w:hAnsi="Arial" w:cs="Arial"/>
        </w:rPr>
        <w:t xml:space="preserve">propone </w:t>
      </w:r>
      <w:r w:rsidR="00586343">
        <w:rPr>
          <w:rFonts w:ascii="Arial" w:hAnsi="Arial" w:cs="Arial"/>
        </w:rPr>
        <w:t>los dictámenes</w:t>
      </w:r>
      <w:r w:rsidR="00B63A12">
        <w:rPr>
          <w:rFonts w:ascii="Arial" w:hAnsi="Arial" w:cs="Arial"/>
        </w:rPr>
        <w:t xml:space="preserve"> al </w:t>
      </w:r>
      <w:r w:rsidR="00C77984">
        <w:rPr>
          <w:rFonts w:ascii="Arial" w:hAnsi="Arial" w:cs="Arial"/>
        </w:rPr>
        <w:t>Consejo</w:t>
      </w:r>
      <w:r w:rsidR="00B63A12">
        <w:rPr>
          <w:rFonts w:ascii="Arial" w:hAnsi="Arial" w:cs="Arial"/>
        </w:rPr>
        <w:t xml:space="preserve"> </w:t>
      </w:r>
      <w:r w:rsidR="007525EB">
        <w:rPr>
          <w:rFonts w:ascii="Arial" w:hAnsi="Arial" w:cs="Arial"/>
        </w:rPr>
        <w:t>G</w:t>
      </w:r>
      <w:r w:rsidR="00B63A12">
        <w:rPr>
          <w:rFonts w:ascii="Arial" w:hAnsi="Arial" w:cs="Arial"/>
        </w:rPr>
        <w:t>eneral de este Órgano</w:t>
      </w:r>
      <w:r w:rsidR="00C77984">
        <w:rPr>
          <w:rFonts w:ascii="Arial" w:hAnsi="Arial" w:cs="Arial"/>
        </w:rPr>
        <w:t xml:space="preserve"> para que sea</w:t>
      </w:r>
      <w:r w:rsidR="00586343">
        <w:rPr>
          <w:rFonts w:ascii="Arial" w:hAnsi="Arial" w:cs="Arial"/>
        </w:rPr>
        <w:t>n</w:t>
      </w:r>
      <w:r w:rsidR="00C77984">
        <w:rPr>
          <w:rFonts w:ascii="Arial" w:hAnsi="Arial" w:cs="Arial"/>
        </w:rPr>
        <w:t xml:space="preserve"> </w:t>
      </w:r>
      <w:r w:rsidR="007525EB">
        <w:rPr>
          <w:rFonts w:ascii="Arial" w:hAnsi="Arial" w:cs="Arial"/>
        </w:rPr>
        <w:t>considerado</w:t>
      </w:r>
      <w:r w:rsidR="00586343">
        <w:rPr>
          <w:rFonts w:ascii="Arial" w:hAnsi="Arial" w:cs="Arial"/>
        </w:rPr>
        <w:t>s</w:t>
      </w:r>
      <w:r w:rsidR="007525EB">
        <w:rPr>
          <w:rFonts w:ascii="Arial" w:hAnsi="Arial" w:cs="Arial"/>
        </w:rPr>
        <w:t xml:space="preserve"> para su </w:t>
      </w:r>
      <w:r w:rsidR="00C77984">
        <w:rPr>
          <w:rFonts w:ascii="Arial" w:hAnsi="Arial" w:cs="Arial"/>
        </w:rPr>
        <w:t>aproba</w:t>
      </w:r>
      <w:r w:rsidR="007525EB">
        <w:rPr>
          <w:rFonts w:ascii="Arial" w:hAnsi="Arial" w:cs="Arial"/>
        </w:rPr>
        <w:t>ción.</w:t>
      </w:r>
    </w:p>
    <w:p w14:paraId="4932251B" w14:textId="77777777" w:rsidR="00B63A12" w:rsidRDefault="00B63A12" w:rsidP="00B63A12">
      <w:pPr>
        <w:pStyle w:val="Prrafodelista"/>
        <w:spacing w:line="276" w:lineRule="auto"/>
        <w:ind w:left="0"/>
        <w:jc w:val="both"/>
        <w:rPr>
          <w:rFonts w:ascii="Arial" w:hAnsi="Arial" w:cs="Arial"/>
        </w:rPr>
      </w:pPr>
    </w:p>
    <w:p w14:paraId="4BE3DF3C" w14:textId="215C6C39" w:rsidR="00122FB4" w:rsidRPr="00B63A12" w:rsidRDefault="00B63A12" w:rsidP="00B63A12">
      <w:pPr>
        <w:pStyle w:val="Prrafodelista"/>
        <w:spacing w:line="276" w:lineRule="auto"/>
        <w:ind w:left="0"/>
        <w:jc w:val="both"/>
        <w:rPr>
          <w:rFonts w:ascii="Arial" w:hAnsi="Arial" w:cs="Arial"/>
        </w:rPr>
      </w:pPr>
      <w:r>
        <w:rPr>
          <w:rFonts w:ascii="Arial" w:hAnsi="Arial" w:cs="Arial"/>
        </w:rPr>
        <w:t>P</w:t>
      </w:r>
      <w:r w:rsidR="00D32A11" w:rsidRPr="00400AE1">
        <w:rPr>
          <w:rFonts w:ascii="Arial" w:eastAsia="Arial Unicode MS" w:hAnsi="Arial" w:cs="Arial"/>
        </w:rPr>
        <w:t>or lo expuesto y con fundamento en los artículos 6 apartado A, fracción VIII, y 116 fracción VIII de la Constitución Política de los Estados Unidos Mexicanos; 42 de la Ley General de Transparencia y Acceso a la Información Pública; 93 fracci</w:t>
      </w:r>
      <w:r w:rsidR="00DE5F08">
        <w:rPr>
          <w:rFonts w:ascii="Arial" w:eastAsia="Arial Unicode MS" w:hAnsi="Arial" w:cs="Arial"/>
        </w:rPr>
        <w:t xml:space="preserve">ones II y </w:t>
      </w:r>
      <w:r w:rsidR="009D55A5">
        <w:rPr>
          <w:rFonts w:ascii="Arial" w:eastAsia="Arial Unicode MS" w:hAnsi="Arial" w:cs="Arial"/>
        </w:rPr>
        <w:t>IV</w:t>
      </w:r>
      <w:r w:rsidR="00D32A11" w:rsidRPr="00400AE1">
        <w:rPr>
          <w:rFonts w:ascii="Arial" w:eastAsia="Arial Unicode MS" w:hAnsi="Arial" w:cs="Arial"/>
        </w:rPr>
        <w:t>,</w:t>
      </w:r>
      <w:r w:rsidR="00C53130">
        <w:rPr>
          <w:rFonts w:ascii="Arial" w:eastAsia="Arial Unicode MS" w:hAnsi="Arial" w:cs="Arial"/>
        </w:rPr>
        <w:t xml:space="preserve"> inciso</w:t>
      </w:r>
      <w:r w:rsidR="00DE5F08">
        <w:rPr>
          <w:rFonts w:ascii="Arial" w:eastAsia="Arial Unicode MS" w:hAnsi="Arial" w:cs="Arial"/>
        </w:rPr>
        <w:t>s</w:t>
      </w:r>
      <w:r w:rsidR="00D32A11" w:rsidRPr="00400AE1">
        <w:rPr>
          <w:rFonts w:ascii="Arial" w:eastAsia="Arial Unicode MS" w:hAnsi="Arial" w:cs="Arial"/>
        </w:rPr>
        <w:t xml:space="preserve"> </w:t>
      </w:r>
      <w:r w:rsidR="00F33B88">
        <w:rPr>
          <w:rFonts w:ascii="Arial" w:eastAsia="Arial Unicode MS" w:hAnsi="Arial" w:cs="Arial"/>
        </w:rPr>
        <w:t>a</w:t>
      </w:r>
      <w:r w:rsidR="00D32A11" w:rsidRPr="00400AE1">
        <w:rPr>
          <w:rFonts w:ascii="Arial" w:eastAsia="Arial Unicode MS" w:hAnsi="Arial" w:cs="Arial"/>
        </w:rPr>
        <w:t>)</w:t>
      </w:r>
      <w:r w:rsidR="009D55A5">
        <w:rPr>
          <w:rFonts w:ascii="Arial" w:eastAsia="Arial Unicode MS" w:hAnsi="Arial" w:cs="Arial"/>
        </w:rPr>
        <w:t xml:space="preserve"> y </w:t>
      </w:r>
      <w:r w:rsidR="00F33B88">
        <w:rPr>
          <w:rFonts w:ascii="Arial" w:eastAsia="Arial Unicode MS" w:hAnsi="Arial" w:cs="Arial"/>
        </w:rPr>
        <w:t>c</w:t>
      </w:r>
      <w:r w:rsidR="00DE5F08">
        <w:rPr>
          <w:rFonts w:ascii="Arial" w:eastAsia="Arial Unicode MS" w:hAnsi="Arial" w:cs="Arial"/>
        </w:rPr>
        <w:t>)</w:t>
      </w:r>
      <w:r w:rsidR="00F33B88">
        <w:rPr>
          <w:rFonts w:ascii="Arial" w:eastAsia="Arial Unicode MS" w:hAnsi="Arial" w:cs="Arial"/>
        </w:rPr>
        <w:t xml:space="preserve"> </w:t>
      </w:r>
      <w:r w:rsidR="00D32A11" w:rsidRPr="00400AE1">
        <w:rPr>
          <w:rFonts w:ascii="Arial" w:eastAsia="Arial Unicode MS" w:hAnsi="Arial" w:cs="Arial"/>
        </w:rPr>
        <w:t xml:space="preserve">de la Ley de Transparencia y Acceso a la Información Pública para el </w:t>
      </w:r>
      <w:r w:rsidR="00586343">
        <w:rPr>
          <w:rFonts w:ascii="Arial" w:eastAsia="Arial Unicode MS" w:hAnsi="Arial" w:cs="Arial"/>
        </w:rPr>
        <w:t>E</w:t>
      </w:r>
      <w:r w:rsidR="00D32A11" w:rsidRPr="00400AE1">
        <w:rPr>
          <w:rFonts w:ascii="Arial" w:eastAsia="Arial Unicode MS" w:hAnsi="Arial" w:cs="Arial"/>
        </w:rPr>
        <w:t xml:space="preserve">stado de Oaxaca; el Consejo General </w:t>
      </w:r>
      <w:r w:rsidR="00D32A11" w:rsidRPr="00400AE1">
        <w:rPr>
          <w:rFonts w:ascii="Arial" w:eastAsia="Times New Roman" w:hAnsi="Arial" w:cs="Arial"/>
          <w:color w:val="000000"/>
          <w:lang w:eastAsia="es-MX"/>
        </w:rPr>
        <w:t xml:space="preserve">de este </w:t>
      </w:r>
      <w:r w:rsidR="00EB4AFD" w:rsidRPr="00400AE1">
        <w:rPr>
          <w:rFonts w:ascii="Arial" w:eastAsia="Times New Roman" w:hAnsi="Arial" w:cs="Arial"/>
          <w:color w:val="000000"/>
          <w:lang w:eastAsia="es-MX"/>
        </w:rPr>
        <w:t>Órgano Garante</w:t>
      </w:r>
      <w:r w:rsidR="00D32A11" w:rsidRPr="00400AE1">
        <w:rPr>
          <w:rFonts w:ascii="Arial" w:eastAsia="Times New Roman" w:hAnsi="Arial" w:cs="Arial"/>
          <w:color w:val="000000"/>
          <w:lang w:eastAsia="es-MX"/>
        </w:rPr>
        <w:t>;</w:t>
      </w:r>
    </w:p>
    <w:p w14:paraId="01024A63" w14:textId="77777777" w:rsidR="00122FB4" w:rsidRPr="00400AE1" w:rsidRDefault="00122FB4" w:rsidP="00400AE1">
      <w:pPr>
        <w:tabs>
          <w:tab w:val="left" w:pos="9356"/>
        </w:tabs>
        <w:spacing w:line="276" w:lineRule="auto"/>
        <w:jc w:val="both"/>
        <w:rPr>
          <w:rFonts w:ascii="Arial" w:eastAsia="Times New Roman" w:hAnsi="Arial" w:cs="Arial"/>
          <w:color w:val="000000"/>
          <w:lang w:eastAsia="es-MX"/>
        </w:rPr>
      </w:pPr>
    </w:p>
    <w:p w14:paraId="5368290D" w14:textId="7B16F170" w:rsidR="000C3987" w:rsidRPr="00400AE1" w:rsidRDefault="00DB7A46" w:rsidP="00400AE1">
      <w:pPr>
        <w:shd w:val="clear" w:color="auto" w:fill="FFFFFF"/>
        <w:spacing w:after="225" w:line="276" w:lineRule="auto"/>
        <w:jc w:val="center"/>
        <w:rPr>
          <w:rFonts w:ascii="Arial" w:eastAsia="Times New Roman" w:hAnsi="Arial" w:cs="Arial"/>
          <w:b/>
          <w:bCs/>
          <w:color w:val="000000"/>
          <w:lang w:eastAsia="es-MX"/>
        </w:rPr>
      </w:pPr>
      <w:r w:rsidRPr="00400AE1">
        <w:rPr>
          <w:rFonts w:ascii="Arial" w:eastAsia="Times New Roman" w:hAnsi="Arial" w:cs="Arial"/>
          <w:b/>
          <w:bCs/>
          <w:color w:val="000000"/>
          <w:lang w:eastAsia="es-MX"/>
        </w:rPr>
        <w:t>R</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E</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S</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U</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E</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L</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V</w:t>
      </w:r>
      <w:r w:rsidR="000C3987" w:rsidRPr="00400AE1">
        <w:rPr>
          <w:rFonts w:ascii="Arial" w:eastAsia="Times New Roman" w:hAnsi="Arial" w:cs="Arial"/>
          <w:b/>
          <w:bCs/>
          <w:color w:val="000000"/>
          <w:lang w:eastAsia="es-MX"/>
        </w:rPr>
        <w:t xml:space="preserve"> </w:t>
      </w:r>
      <w:r w:rsidRPr="00400AE1">
        <w:rPr>
          <w:rFonts w:ascii="Arial" w:eastAsia="Times New Roman" w:hAnsi="Arial" w:cs="Arial"/>
          <w:b/>
          <w:bCs/>
          <w:color w:val="000000"/>
          <w:lang w:eastAsia="es-MX"/>
        </w:rPr>
        <w:t>E</w:t>
      </w:r>
      <w:r w:rsidR="000C3987" w:rsidRPr="00400AE1">
        <w:rPr>
          <w:rFonts w:ascii="Arial" w:eastAsia="Times New Roman" w:hAnsi="Arial" w:cs="Arial"/>
          <w:b/>
          <w:bCs/>
          <w:color w:val="000000"/>
          <w:lang w:eastAsia="es-MX"/>
        </w:rPr>
        <w:t>:</w:t>
      </w:r>
    </w:p>
    <w:p w14:paraId="3E3DA87A" w14:textId="12800EFD" w:rsidR="00F33B88" w:rsidRDefault="00F33B88" w:rsidP="00F33B88">
      <w:pPr>
        <w:spacing w:line="276" w:lineRule="auto"/>
        <w:jc w:val="both"/>
        <w:rPr>
          <w:rFonts w:ascii="Arial" w:eastAsia="Arial Unicode MS" w:hAnsi="Arial" w:cs="Arial"/>
          <w:lang w:eastAsia="es-ES"/>
        </w:rPr>
      </w:pPr>
      <w:r w:rsidRPr="00FD39C3">
        <w:rPr>
          <w:rFonts w:ascii="Arial" w:eastAsia="Arial Unicode MS" w:hAnsi="Arial" w:cs="Arial"/>
          <w:b/>
          <w:lang w:eastAsia="es-ES"/>
        </w:rPr>
        <w:t>PRIMERO.</w:t>
      </w:r>
      <w:r w:rsidRPr="00FD39C3">
        <w:rPr>
          <w:rFonts w:ascii="Arial" w:eastAsia="Arial Unicode MS" w:hAnsi="Arial" w:cs="Arial"/>
          <w:lang w:eastAsia="es-ES"/>
        </w:rPr>
        <w:t xml:space="preserve"> </w:t>
      </w:r>
      <w:r>
        <w:rPr>
          <w:rFonts w:ascii="Arial" w:eastAsia="Arial Unicode MS" w:hAnsi="Arial" w:cs="Arial"/>
          <w:lang w:eastAsia="es-ES"/>
        </w:rPr>
        <w:t xml:space="preserve">Es procedente la aprobación de los </w:t>
      </w:r>
      <w:r w:rsidR="004416A8">
        <w:rPr>
          <w:rFonts w:ascii="Arial" w:eastAsia="Arial Unicode MS" w:hAnsi="Arial" w:cs="Arial"/>
          <w:lang w:eastAsia="es-ES"/>
        </w:rPr>
        <w:t xml:space="preserve">dictámenes </w:t>
      </w:r>
      <w:r w:rsidR="007525EB">
        <w:rPr>
          <w:rFonts w:ascii="Arial" w:eastAsia="Arial Unicode MS" w:hAnsi="Arial" w:cs="Arial"/>
          <w:lang w:eastAsia="es-ES"/>
        </w:rPr>
        <w:t xml:space="preserve">de cumplimiento e incumplimiento </w:t>
      </w:r>
      <w:r>
        <w:rPr>
          <w:rFonts w:ascii="Arial" w:eastAsia="Arial Unicode MS" w:hAnsi="Arial" w:cs="Arial"/>
          <w:lang w:eastAsia="es-ES"/>
        </w:rPr>
        <w:t xml:space="preserve">emitidos </w:t>
      </w:r>
      <w:r w:rsidR="009D78C9">
        <w:rPr>
          <w:rFonts w:ascii="Arial" w:eastAsia="Arial Unicode MS" w:hAnsi="Arial" w:cs="Arial"/>
          <w:lang w:eastAsia="es-ES"/>
        </w:rPr>
        <w:t xml:space="preserve">por </w:t>
      </w:r>
      <w:r w:rsidRPr="00C730F8">
        <w:rPr>
          <w:rFonts w:ascii="Arial" w:eastAsia="Arial Unicode MS" w:hAnsi="Arial" w:cs="Arial"/>
          <w:lang w:eastAsia="es-ES"/>
        </w:rPr>
        <w:t>la Dirección de Comunicación, Capacitación, Evaluación, Archivo y Datos Personales,</w:t>
      </w:r>
      <w:r w:rsidRPr="00FD39C3">
        <w:rPr>
          <w:rFonts w:ascii="Arial" w:eastAsia="Arial Unicode MS" w:hAnsi="Arial" w:cs="Arial"/>
          <w:lang w:eastAsia="es-ES"/>
        </w:rPr>
        <w:t xml:space="preserve"> correspondiente</w:t>
      </w:r>
      <w:r w:rsidR="007525EB">
        <w:rPr>
          <w:rFonts w:ascii="Arial" w:eastAsia="Arial Unicode MS" w:hAnsi="Arial" w:cs="Arial"/>
          <w:lang w:eastAsia="es-ES"/>
        </w:rPr>
        <w:t xml:space="preserve"> en el siguiente sentido y</w:t>
      </w:r>
      <w:r w:rsidRPr="00FD39C3">
        <w:rPr>
          <w:rFonts w:ascii="Arial" w:eastAsia="Arial Unicode MS" w:hAnsi="Arial" w:cs="Arial"/>
          <w:lang w:eastAsia="es-ES"/>
        </w:rPr>
        <w:t xml:space="preserve"> </w:t>
      </w:r>
      <w:r w:rsidR="007525EB">
        <w:rPr>
          <w:rFonts w:ascii="Arial" w:eastAsia="Arial Unicode MS" w:hAnsi="Arial" w:cs="Arial"/>
          <w:lang w:eastAsia="es-ES"/>
        </w:rPr>
        <w:t xml:space="preserve">de los </w:t>
      </w:r>
      <w:r w:rsidRPr="00FD39C3">
        <w:rPr>
          <w:rFonts w:ascii="Arial" w:eastAsia="Arial Unicode MS" w:hAnsi="Arial" w:cs="Arial"/>
          <w:lang w:eastAsia="es-ES"/>
        </w:rPr>
        <w:t>sujetos obligados</w:t>
      </w:r>
      <w:r w:rsidR="007525EB">
        <w:rPr>
          <w:rFonts w:ascii="Arial" w:eastAsia="Arial Unicode MS" w:hAnsi="Arial" w:cs="Arial"/>
          <w:lang w:eastAsia="es-ES"/>
        </w:rPr>
        <w:t xml:space="preserve"> que se mencionan</w:t>
      </w:r>
      <w:r w:rsidRPr="00FD39C3">
        <w:rPr>
          <w:rFonts w:ascii="Arial" w:eastAsia="Arial Unicode MS" w:hAnsi="Arial" w:cs="Arial"/>
          <w:lang w:eastAsia="es-ES"/>
        </w:rPr>
        <w:t>:</w:t>
      </w:r>
    </w:p>
    <w:p w14:paraId="4F98155D" w14:textId="77777777" w:rsidR="007525EB" w:rsidRPr="00FD39C3" w:rsidRDefault="007525EB" w:rsidP="00F33B88">
      <w:pPr>
        <w:spacing w:line="276" w:lineRule="auto"/>
        <w:jc w:val="both"/>
        <w:rPr>
          <w:rFonts w:ascii="Arial" w:eastAsia="Arial Unicode MS" w:hAnsi="Arial" w:cs="Arial"/>
          <w:lang w:eastAsia="es-ES"/>
        </w:rPr>
      </w:pPr>
    </w:p>
    <w:p w14:paraId="5E75388B" w14:textId="7C86B60F" w:rsidR="00F33B88" w:rsidRPr="00822AAA" w:rsidRDefault="00F33B88" w:rsidP="004416A8">
      <w:pPr>
        <w:shd w:val="clear" w:color="auto" w:fill="FFFFFF"/>
        <w:ind w:right="902"/>
        <w:jc w:val="both"/>
        <w:rPr>
          <w:rFonts w:ascii="Arial" w:eastAsia="Times New Roman" w:hAnsi="Arial" w:cs="Arial"/>
          <w:b/>
          <w:bCs/>
          <w:color w:val="222222"/>
          <w:lang w:eastAsia="es-MX"/>
        </w:rPr>
      </w:pPr>
      <w:r w:rsidRPr="00822AAA">
        <w:rPr>
          <w:rFonts w:ascii="Arial" w:eastAsia="Times New Roman" w:hAnsi="Arial" w:cs="Arial"/>
          <w:b/>
          <w:bCs/>
          <w:color w:val="222222"/>
          <w:lang w:eastAsia="es-MX"/>
        </w:rPr>
        <w:t>Dict</w:t>
      </w:r>
      <w:r>
        <w:rPr>
          <w:rFonts w:ascii="Arial" w:eastAsia="Times New Roman" w:hAnsi="Arial" w:cs="Arial"/>
          <w:b/>
          <w:bCs/>
          <w:color w:val="222222"/>
          <w:lang w:eastAsia="es-MX"/>
        </w:rPr>
        <w:t>amen</w:t>
      </w:r>
      <w:r w:rsidRPr="00822AAA">
        <w:rPr>
          <w:rFonts w:ascii="Arial" w:eastAsia="Times New Roman" w:hAnsi="Arial" w:cs="Arial"/>
          <w:b/>
          <w:bCs/>
          <w:color w:val="222222"/>
          <w:lang w:eastAsia="es-MX"/>
        </w:rPr>
        <w:t xml:space="preserve"> de Cumplimiento Segunda Fase </w:t>
      </w:r>
    </w:p>
    <w:p w14:paraId="6F3C20D4" w14:textId="77777777" w:rsidR="004416A8" w:rsidRDefault="004416A8" w:rsidP="004416A8">
      <w:pPr>
        <w:pStyle w:val="Prrafodelista"/>
        <w:shd w:val="clear" w:color="auto" w:fill="FFFFFF"/>
        <w:ind w:left="993" w:right="902"/>
        <w:jc w:val="both"/>
        <w:rPr>
          <w:rFonts w:ascii="Arial" w:eastAsia="Times New Roman" w:hAnsi="Arial" w:cs="Arial"/>
          <w:bCs/>
          <w:color w:val="222222"/>
          <w:lang w:eastAsia="es-MX"/>
        </w:rPr>
      </w:pPr>
    </w:p>
    <w:p w14:paraId="52071FBC" w14:textId="70DD275D" w:rsidR="00F33B88" w:rsidRPr="00822AAA" w:rsidRDefault="00F33B88" w:rsidP="004416A8">
      <w:pPr>
        <w:pStyle w:val="Prrafodelista"/>
        <w:numPr>
          <w:ilvl w:val="0"/>
          <w:numId w:val="32"/>
        </w:numPr>
        <w:shd w:val="clear" w:color="auto" w:fill="FFFFFF"/>
        <w:ind w:right="902"/>
        <w:jc w:val="both"/>
        <w:rPr>
          <w:rFonts w:ascii="Arial" w:eastAsia="Times New Roman" w:hAnsi="Arial" w:cs="Arial"/>
          <w:bCs/>
          <w:color w:val="222222"/>
          <w:lang w:eastAsia="es-MX"/>
        </w:rPr>
      </w:pPr>
      <w:r>
        <w:rPr>
          <w:rFonts w:ascii="Arial" w:eastAsia="Times New Roman" w:hAnsi="Arial" w:cs="Arial"/>
          <w:bCs/>
          <w:color w:val="222222"/>
          <w:lang w:eastAsia="es-MX"/>
        </w:rPr>
        <w:t>H. Ayuntamiento de Salina Cruz</w:t>
      </w:r>
      <w:r w:rsidRPr="009517D2">
        <w:rPr>
          <w:rFonts w:ascii="Arial" w:eastAsia="Times New Roman" w:hAnsi="Arial" w:cs="Arial"/>
          <w:bCs/>
          <w:color w:val="222222"/>
          <w:lang w:eastAsia="es-MX"/>
        </w:rPr>
        <w:t xml:space="preserve"> </w:t>
      </w:r>
      <w:r>
        <w:rPr>
          <w:rFonts w:ascii="Arial" w:eastAsia="Times New Roman" w:hAnsi="Arial" w:cs="Arial"/>
          <w:b/>
          <w:color w:val="222222"/>
          <w:lang w:eastAsia="es-MX"/>
        </w:rPr>
        <w:t>100%</w:t>
      </w:r>
    </w:p>
    <w:p w14:paraId="76595712" w14:textId="77777777" w:rsidR="00F33B88" w:rsidRDefault="00F33B88" w:rsidP="004416A8">
      <w:pPr>
        <w:shd w:val="clear" w:color="auto" w:fill="FFFFFF"/>
        <w:ind w:left="993" w:right="902"/>
        <w:jc w:val="both"/>
        <w:rPr>
          <w:rFonts w:ascii="Arial" w:eastAsia="Times New Roman" w:hAnsi="Arial" w:cs="Arial"/>
          <w:bCs/>
          <w:color w:val="222222"/>
          <w:lang w:eastAsia="es-MX"/>
        </w:rPr>
      </w:pPr>
    </w:p>
    <w:p w14:paraId="5C6E3D55" w14:textId="57035329" w:rsidR="00F33B88" w:rsidRDefault="00F33B88" w:rsidP="004416A8">
      <w:pPr>
        <w:shd w:val="clear" w:color="auto" w:fill="FFFFFF"/>
        <w:ind w:right="902"/>
        <w:jc w:val="both"/>
        <w:rPr>
          <w:rFonts w:ascii="Arial" w:eastAsia="Times New Roman" w:hAnsi="Arial" w:cs="Arial"/>
          <w:b/>
          <w:bCs/>
          <w:color w:val="222222"/>
          <w:lang w:eastAsia="es-MX"/>
        </w:rPr>
      </w:pPr>
      <w:r w:rsidRPr="00A5384A">
        <w:rPr>
          <w:rFonts w:ascii="Arial" w:eastAsia="Times New Roman" w:hAnsi="Arial" w:cs="Arial"/>
          <w:b/>
          <w:bCs/>
          <w:color w:val="222222"/>
          <w:lang w:eastAsia="es-MX"/>
        </w:rPr>
        <w:t>Dict</w:t>
      </w:r>
      <w:r>
        <w:rPr>
          <w:rFonts w:ascii="Arial" w:eastAsia="Times New Roman" w:hAnsi="Arial" w:cs="Arial"/>
          <w:b/>
          <w:bCs/>
          <w:color w:val="222222"/>
          <w:lang w:eastAsia="es-MX"/>
        </w:rPr>
        <w:t>á</w:t>
      </w:r>
      <w:r w:rsidRPr="00A5384A">
        <w:rPr>
          <w:rFonts w:ascii="Arial" w:eastAsia="Times New Roman" w:hAnsi="Arial" w:cs="Arial"/>
          <w:b/>
          <w:bCs/>
          <w:color w:val="222222"/>
          <w:lang w:eastAsia="es-MX"/>
        </w:rPr>
        <w:t>men</w:t>
      </w:r>
      <w:r>
        <w:rPr>
          <w:rFonts w:ascii="Arial" w:eastAsia="Times New Roman" w:hAnsi="Arial" w:cs="Arial"/>
          <w:b/>
          <w:bCs/>
          <w:color w:val="222222"/>
          <w:lang w:eastAsia="es-MX"/>
        </w:rPr>
        <w:t>es</w:t>
      </w:r>
      <w:r w:rsidRPr="00A5384A">
        <w:rPr>
          <w:rFonts w:ascii="Arial" w:eastAsia="Times New Roman" w:hAnsi="Arial" w:cs="Arial"/>
          <w:b/>
          <w:bCs/>
          <w:color w:val="222222"/>
          <w:lang w:eastAsia="es-MX"/>
        </w:rPr>
        <w:t xml:space="preserve"> de </w:t>
      </w:r>
      <w:r>
        <w:rPr>
          <w:rFonts w:ascii="Arial" w:eastAsia="Times New Roman" w:hAnsi="Arial" w:cs="Arial"/>
          <w:b/>
          <w:bCs/>
          <w:color w:val="222222"/>
          <w:lang w:eastAsia="es-MX"/>
        </w:rPr>
        <w:t>Inc</w:t>
      </w:r>
      <w:r w:rsidRPr="00A5384A">
        <w:rPr>
          <w:rFonts w:ascii="Arial" w:eastAsia="Times New Roman" w:hAnsi="Arial" w:cs="Arial"/>
          <w:b/>
          <w:bCs/>
          <w:color w:val="222222"/>
          <w:lang w:eastAsia="es-MX"/>
        </w:rPr>
        <w:t>umplimiento</w:t>
      </w:r>
      <w:r>
        <w:rPr>
          <w:rFonts w:ascii="Arial" w:eastAsia="Times New Roman" w:hAnsi="Arial" w:cs="Arial"/>
          <w:b/>
          <w:bCs/>
          <w:color w:val="222222"/>
          <w:lang w:eastAsia="es-MX"/>
        </w:rPr>
        <w:t xml:space="preserve"> </w:t>
      </w:r>
    </w:p>
    <w:p w14:paraId="79EDFA09" w14:textId="77777777" w:rsidR="004416A8" w:rsidRPr="00822AAA" w:rsidRDefault="004416A8" w:rsidP="004416A8">
      <w:pPr>
        <w:shd w:val="clear" w:color="auto" w:fill="FFFFFF"/>
        <w:ind w:right="902"/>
        <w:jc w:val="both"/>
        <w:rPr>
          <w:rFonts w:ascii="Arial" w:eastAsia="Times New Roman" w:hAnsi="Arial" w:cs="Arial"/>
          <w:b/>
          <w:bCs/>
          <w:color w:val="222222"/>
          <w:lang w:eastAsia="es-MX"/>
        </w:rPr>
      </w:pPr>
    </w:p>
    <w:p w14:paraId="4CBECD8C" w14:textId="3DCB65E8" w:rsidR="004416A8" w:rsidRPr="00A56E1A" w:rsidRDefault="00F33B88" w:rsidP="00A56E1A">
      <w:pPr>
        <w:pStyle w:val="Prrafodelista"/>
        <w:numPr>
          <w:ilvl w:val="0"/>
          <w:numId w:val="33"/>
        </w:numPr>
        <w:shd w:val="clear" w:color="auto" w:fill="FFFFFF"/>
        <w:ind w:right="902" w:firstLine="556"/>
        <w:jc w:val="both"/>
        <w:rPr>
          <w:rFonts w:ascii="Arial" w:eastAsia="Times New Roman" w:hAnsi="Arial" w:cs="Arial"/>
          <w:bCs/>
          <w:color w:val="222222"/>
          <w:lang w:eastAsia="es-MX"/>
        </w:rPr>
      </w:pPr>
      <w:r>
        <w:rPr>
          <w:rFonts w:ascii="Arial" w:eastAsia="Times New Roman" w:hAnsi="Arial" w:cs="Arial"/>
          <w:bCs/>
          <w:color w:val="222222"/>
          <w:lang w:eastAsia="es-MX"/>
        </w:rPr>
        <w:t xml:space="preserve">H. Ayuntamiento de El Espinal </w:t>
      </w:r>
      <w:r>
        <w:rPr>
          <w:rFonts w:ascii="Arial" w:eastAsia="Times New Roman" w:hAnsi="Arial" w:cs="Arial"/>
          <w:b/>
          <w:color w:val="222222"/>
          <w:lang w:eastAsia="es-MX"/>
        </w:rPr>
        <w:t>78.03%</w:t>
      </w:r>
    </w:p>
    <w:p w14:paraId="385A4700" w14:textId="77777777" w:rsidR="00F33B88" w:rsidRPr="009517D2" w:rsidRDefault="00F33B88" w:rsidP="004416A8">
      <w:pPr>
        <w:pStyle w:val="Prrafodelista"/>
        <w:numPr>
          <w:ilvl w:val="0"/>
          <w:numId w:val="33"/>
        </w:numPr>
        <w:shd w:val="clear" w:color="auto" w:fill="FFFFFF"/>
        <w:ind w:right="902" w:firstLine="556"/>
        <w:jc w:val="both"/>
        <w:rPr>
          <w:rFonts w:ascii="Arial" w:eastAsia="Times New Roman" w:hAnsi="Arial" w:cs="Arial"/>
          <w:bCs/>
          <w:color w:val="222222"/>
          <w:lang w:eastAsia="es-MX"/>
        </w:rPr>
      </w:pPr>
      <w:r>
        <w:rPr>
          <w:rFonts w:ascii="Arial" w:eastAsia="Times New Roman" w:hAnsi="Arial" w:cs="Arial"/>
          <w:bCs/>
          <w:color w:val="222222"/>
          <w:lang w:eastAsia="es-MX"/>
        </w:rPr>
        <w:t xml:space="preserve">H. Ayuntamiento de San Pedro Pochutla </w:t>
      </w:r>
      <w:r>
        <w:rPr>
          <w:rFonts w:ascii="Arial" w:eastAsia="Times New Roman" w:hAnsi="Arial" w:cs="Arial"/>
          <w:b/>
          <w:color w:val="222222"/>
          <w:lang w:eastAsia="es-MX"/>
        </w:rPr>
        <w:t xml:space="preserve">15.10% </w:t>
      </w:r>
    </w:p>
    <w:p w14:paraId="7A6293E7" w14:textId="77777777" w:rsidR="00F33B88" w:rsidRDefault="00F33B88" w:rsidP="00F33B88">
      <w:pPr>
        <w:spacing w:line="276" w:lineRule="auto"/>
        <w:jc w:val="both"/>
        <w:rPr>
          <w:rFonts w:ascii="Arial" w:eastAsia="Times New Roman" w:hAnsi="Arial" w:cs="Arial"/>
          <w:color w:val="000000"/>
          <w:lang w:eastAsia="es-MX"/>
        </w:rPr>
      </w:pPr>
    </w:p>
    <w:p w14:paraId="32D0FB02" w14:textId="7C860AE1" w:rsidR="00F33B88" w:rsidRPr="00FD39C3" w:rsidRDefault="00F33B88" w:rsidP="00F33B88">
      <w:pPr>
        <w:spacing w:line="276" w:lineRule="auto"/>
        <w:jc w:val="both"/>
        <w:rPr>
          <w:rFonts w:ascii="Arial" w:eastAsia="Arial Unicode MS" w:hAnsi="Arial" w:cs="Arial"/>
          <w:lang w:eastAsia="es-ES"/>
        </w:rPr>
      </w:pPr>
      <w:r w:rsidRPr="00FD39C3">
        <w:rPr>
          <w:rFonts w:ascii="Arial" w:eastAsia="Times New Roman" w:hAnsi="Arial" w:cs="Arial"/>
          <w:color w:val="000000"/>
          <w:lang w:val="es-ES_tradnl" w:eastAsia="es-MX"/>
        </w:rPr>
        <w:t>Los Dictámenes</w:t>
      </w:r>
      <w:r w:rsidRPr="00FD39C3">
        <w:rPr>
          <w:rFonts w:ascii="Arial" w:eastAsia="Arial Unicode MS" w:hAnsi="Arial" w:cs="Arial"/>
          <w:lang w:eastAsia="es-ES"/>
        </w:rPr>
        <w:t xml:space="preserve"> de Cumplimiento </w:t>
      </w:r>
      <w:r w:rsidR="009D78C9">
        <w:rPr>
          <w:rFonts w:ascii="Arial" w:eastAsia="Arial Unicode MS" w:hAnsi="Arial" w:cs="Arial"/>
          <w:lang w:eastAsia="es-ES"/>
        </w:rPr>
        <w:t xml:space="preserve">e Incumplimiento </w:t>
      </w:r>
      <w:r w:rsidRPr="00FD39C3">
        <w:rPr>
          <w:rFonts w:ascii="Arial" w:eastAsia="Arial Unicode MS" w:hAnsi="Arial" w:cs="Arial"/>
          <w:lang w:eastAsia="es-ES"/>
        </w:rPr>
        <w:t>se anexan al presente documento en el orden progresivo que se enumeraron.</w:t>
      </w:r>
    </w:p>
    <w:p w14:paraId="2F7EBA6F" w14:textId="77777777" w:rsidR="00885A87" w:rsidRDefault="00885A87" w:rsidP="00400AE1">
      <w:pPr>
        <w:spacing w:line="276" w:lineRule="auto"/>
        <w:jc w:val="both"/>
        <w:rPr>
          <w:rFonts w:ascii="Arial" w:eastAsia="Arial Unicode MS" w:hAnsi="Arial" w:cs="Arial"/>
        </w:rPr>
      </w:pPr>
    </w:p>
    <w:p w14:paraId="13FFD3FF" w14:textId="10F13A00" w:rsidR="004416A8" w:rsidRPr="00FD39C3" w:rsidRDefault="004416A8" w:rsidP="004416A8">
      <w:pPr>
        <w:spacing w:line="276" w:lineRule="auto"/>
        <w:jc w:val="both"/>
        <w:rPr>
          <w:rFonts w:ascii="Arial" w:eastAsia="Arial Unicode MS" w:hAnsi="Arial" w:cs="Arial"/>
          <w:lang w:val="es-ES" w:eastAsia="es-ES"/>
        </w:rPr>
      </w:pPr>
      <w:r w:rsidRPr="00FD39C3">
        <w:rPr>
          <w:rFonts w:ascii="Arial" w:eastAsia="Arial Unicode MS" w:hAnsi="Arial" w:cs="Arial"/>
          <w:b/>
          <w:lang w:val="es-ES" w:eastAsia="es-ES"/>
        </w:rPr>
        <w:t>SEGUNDO</w:t>
      </w:r>
      <w:r w:rsidRPr="00FD39C3">
        <w:rPr>
          <w:rFonts w:ascii="Arial" w:eastAsia="Arial Unicode MS" w:hAnsi="Arial" w:cs="Arial"/>
          <w:lang w:val="es-ES" w:eastAsia="es-ES"/>
        </w:rPr>
        <w:t>. Se instruye a la Secretaría General de Acuerdos, realice la notificación de</w:t>
      </w:r>
      <w:r w:rsidR="007525EB">
        <w:rPr>
          <w:rFonts w:ascii="Arial" w:eastAsia="Arial Unicode MS" w:hAnsi="Arial" w:cs="Arial"/>
          <w:lang w:val="es-ES" w:eastAsia="es-ES"/>
        </w:rPr>
        <w:t xml:space="preserve"> los dictámenes anexos al</w:t>
      </w:r>
      <w:r w:rsidRPr="00FD39C3">
        <w:rPr>
          <w:rFonts w:ascii="Arial" w:eastAsia="Arial Unicode MS" w:hAnsi="Arial" w:cs="Arial"/>
          <w:lang w:val="es-ES" w:eastAsia="es-ES"/>
        </w:rPr>
        <w:t xml:space="preserve"> presente </w:t>
      </w:r>
      <w:r w:rsidR="007525EB">
        <w:rPr>
          <w:rFonts w:ascii="Arial" w:eastAsia="Arial Unicode MS" w:hAnsi="Arial" w:cs="Arial"/>
          <w:lang w:val="es-ES" w:eastAsia="es-ES"/>
        </w:rPr>
        <w:t xml:space="preserve">acuerdo </w:t>
      </w:r>
      <w:r w:rsidR="00D46D58" w:rsidRPr="00FD39C3">
        <w:rPr>
          <w:rFonts w:ascii="Arial" w:eastAsia="Arial Unicode MS" w:hAnsi="Arial" w:cs="Arial"/>
          <w:lang w:val="es-ES" w:eastAsia="es-ES"/>
        </w:rPr>
        <w:t>a</w:t>
      </w:r>
      <w:r w:rsidR="009239F9">
        <w:rPr>
          <w:rFonts w:ascii="Arial" w:eastAsia="Arial Unicode MS" w:hAnsi="Arial" w:cs="Arial"/>
          <w:lang w:val="es-ES" w:eastAsia="es-ES"/>
        </w:rPr>
        <w:t xml:space="preserve"> la o el</w:t>
      </w:r>
      <w:r w:rsidR="00D46D58" w:rsidRPr="00FD39C3">
        <w:rPr>
          <w:rFonts w:ascii="Arial" w:eastAsia="Arial Unicode MS" w:hAnsi="Arial" w:cs="Arial"/>
          <w:lang w:val="es-ES" w:eastAsia="es-ES"/>
        </w:rPr>
        <w:t xml:space="preserve"> Responsable de la Unidad de Transparencia</w:t>
      </w:r>
      <w:r w:rsidR="00D46D58" w:rsidRPr="00FD39C3">
        <w:rPr>
          <w:rFonts w:ascii="Arial" w:eastAsia="Arial Unicode MS" w:hAnsi="Arial" w:cs="Arial"/>
          <w:lang w:eastAsia="es-ES"/>
        </w:rPr>
        <w:t xml:space="preserve"> y/o a</w:t>
      </w:r>
      <w:r w:rsidR="009239F9">
        <w:rPr>
          <w:rFonts w:ascii="Arial" w:eastAsia="Arial Unicode MS" w:hAnsi="Arial" w:cs="Arial"/>
          <w:lang w:eastAsia="es-ES"/>
        </w:rPr>
        <w:t xml:space="preserve"> la o el </w:t>
      </w:r>
      <w:r w:rsidR="00D46D58" w:rsidRPr="00FD39C3">
        <w:rPr>
          <w:rFonts w:ascii="Arial" w:eastAsia="Arial Unicode MS" w:hAnsi="Arial" w:cs="Arial"/>
          <w:lang w:eastAsia="es-ES"/>
        </w:rPr>
        <w:t xml:space="preserve">personal habilitado de la Unidad de Transparencia </w:t>
      </w:r>
      <w:r w:rsidR="00D46D58" w:rsidRPr="00FD39C3">
        <w:rPr>
          <w:rFonts w:ascii="Arial" w:eastAsia="Arial Unicode MS" w:hAnsi="Arial" w:cs="Arial"/>
          <w:lang w:val="es-ES" w:eastAsia="es-ES"/>
        </w:rPr>
        <w:t>de</w:t>
      </w:r>
      <w:r w:rsidR="00A56E1A">
        <w:rPr>
          <w:rFonts w:ascii="Arial" w:eastAsia="Arial Unicode MS" w:hAnsi="Arial" w:cs="Arial"/>
          <w:lang w:val="es-ES" w:eastAsia="es-ES"/>
        </w:rPr>
        <w:t xml:space="preserve"> los</w:t>
      </w:r>
      <w:r w:rsidR="00D46D58" w:rsidRPr="00FD39C3">
        <w:rPr>
          <w:rFonts w:ascii="Arial" w:eastAsia="Arial Unicode MS" w:hAnsi="Arial" w:cs="Arial"/>
          <w:lang w:val="es-ES" w:eastAsia="es-ES"/>
        </w:rPr>
        <w:t xml:space="preserve"> Sujeto</w:t>
      </w:r>
      <w:r w:rsidR="00A56E1A">
        <w:rPr>
          <w:rFonts w:ascii="Arial" w:eastAsia="Arial Unicode MS" w:hAnsi="Arial" w:cs="Arial"/>
          <w:lang w:val="es-ES" w:eastAsia="es-ES"/>
        </w:rPr>
        <w:t>s</w:t>
      </w:r>
      <w:r w:rsidR="00D46D58" w:rsidRPr="00FD39C3">
        <w:rPr>
          <w:rFonts w:ascii="Arial" w:eastAsia="Arial Unicode MS" w:hAnsi="Arial" w:cs="Arial"/>
          <w:lang w:val="es-ES" w:eastAsia="es-ES"/>
        </w:rPr>
        <w:t xml:space="preserve"> obligado</w:t>
      </w:r>
      <w:r w:rsidR="00A56E1A">
        <w:rPr>
          <w:rFonts w:ascii="Arial" w:eastAsia="Arial Unicode MS" w:hAnsi="Arial" w:cs="Arial"/>
          <w:lang w:val="es-ES" w:eastAsia="es-ES"/>
        </w:rPr>
        <w:t>s</w:t>
      </w:r>
      <w:r w:rsidR="00D46D58" w:rsidRPr="00FD39C3">
        <w:rPr>
          <w:rFonts w:ascii="Arial" w:eastAsia="Arial Unicode MS" w:hAnsi="Arial" w:cs="Arial"/>
          <w:lang w:val="es-ES" w:eastAsia="es-ES"/>
        </w:rPr>
        <w:t xml:space="preserve"> verificado</w:t>
      </w:r>
      <w:r w:rsidR="00A56E1A">
        <w:rPr>
          <w:rFonts w:ascii="Arial" w:eastAsia="Arial Unicode MS" w:hAnsi="Arial" w:cs="Arial"/>
          <w:lang w:val="es-ES" w:eastAsia="es-ES"/>
        </w:rPr>
        <w:t>s</w:t>
      </w:r>
      <w:r w:rsidR="00D46D58" w:rsidRPr="00FD39C3">
        <w:rPr>
          <w:rFonts w:ascii="Arial" w:eastAsia="Arial Unicode MS" w:hAnsi="Arial" w:cs="Arial"/>
          <w:lang w:val="es-ES" w:eastAsia="es-ES"/>
        </w:rPr>
        <w:t xml:space="preserve"> </w:t>
      </w:r>
      <w:r w:rsidR="00A56E1A">
        <w:rPr>
          <w:rFonts w:ascii="Arial" w:eastAsia="Arial Unicode MS" w:hAnsi="Arial" w:cs="Arial"/>
          <w:lang w:val="es-ES" w:eastAsia="es-ES"/>
        </w:rPr>
        <w:t xml:space="preserve">y </w:t>
      </w:r>
      <w:r w:rsidRPr="00FD39C3">
        <w:rPr>
          <w:rFonts w:ascii="Arial" w:eastAsia="Arial Unicode MS" w:hAnsi="Arial" w:cs="Arial"/>
          <w:lang w:val="es-ES" w:eastAsia="es-ES"/>
        </w:rPr>
        <w:t>aprobado</w:t>
      </w:r>
      <w:r>
        <w:rPr>
          <w:rFonts w:ascii="Arial" w:eastAsia="Arial Unicode MS" w:hAnsi="Arial" w:cs="Arial"/>
          <w:lang w:val="es-ES" w:eastAsia="es-ES"/>
        </w:rPr>
        <w:t>s</w:t>
      </w:r>
      <w:r w:rsidR="00D46D58">
        <w:rPr>
          <w:rFonts w:ascii="Arial" w:eastAsia="Arial Unicode MS" w:hAnsi="Arial" w:cs="Arial"/>
          <w:lang w:val="es-ES" w:eastAsia="es-ES"/>
        </w:rPr>
        <w:t xml:space="preserve"> en esta sesión de Consejo General</w:t>
      </w:r>
      <w:r w:rsidR="00A56E1A">
        <w:rPr>
          <w:rFonts w:ascii="Arial" w:eastAsia="Arial Unicode MS" w:hAnsi="Arial" w:cs="Arial"/>
          <w:lang w:val="es-ES" w:eastAsia="es-ES"/>
        </w:rPr>
        <w:t xml:space="preserve"> hecho lo anterior deberá devolver </w:t>
      </w:r>
      <w:r w:rsidR="00A56E1A" w:rsidRPr="008226B8">
        <w:rPr>
          <w:rFonts w:ascii="Arial" w:eastAsia="Arial Unicode MS" w:hAnsi="Arial" w:cs="Arial"/>
          <w:lang w:val="es-ES" w:eastAsia="es-ES"/>
        </w:rPr>
        <w:t>al día siguiente la notificación realizada</w:t>
      </w:r>
      <w:r w:rsidRPr="008226B8">
        <w:rPr>
          <w:rFonts w:ascii="Arial" w:eastAsia="Arial Unicode MS" w:hAnsi="Arial" w:cs="Arial"/>
          <w:lang w:val="es-ES" w:eastAsia="es-ES"/>
        </w:rPr>
        <w:t xml:space="preserve"> a la </w:t>
      </w:r>
      <w:r w:rsidRPr="008226B8">
        <w:rPr>
          <w:rFonts w:ascii="Arial" w:eastAsia="Arial Unicode MS" w:hAnsi="Arial" w:cs="Arial"/>
          <w:lang w:eastAsia="es-ES"/>
        </w:rPr>
        <w:t xml:space="preserve">Dirección de Comunicación, Capacitación, Evaluación, Archivo y Datos Personales de este </w:t>
      </w:r>
      <w:r w:rsidR="00D46D58" w:rsidRPr="008226B8">
        <w:rPr>
          <w:rFonts w:ascii="Arial" w:eastAsia="Arial Unicode MS" w:hAnsi="Arial" w:cs="Arial"/>
          <w:lang w:eastAsia="es-ES"/>
        </w:rPr>
        <w:t xml:space="preserve">Órgano </w:t>
      </w:r>
      <w:r w:rsidRPr="008226B8">
        <w:rPr>
          <w:rFonts w:ascii="Arial" w:eastAsia="Arial Unicode MS" w:hAnsi="Arial" w:cs="Arial"/>
          <w:lang w:eastAsia="es-ES"/>
        </w:rPr>
        <w:t>su debido cumplimiento</w:t>
      </w:r>
      <w:r w:rsidR="00A56E1A" w:rsidRPr="008226B8">
        <w:rPr>
          <w:rFonts w:ascii="Arial" w:eastAsia="Arial Unicode MS" w:hAnsi="Arial" w:cs="Arial"/>
          <w:lang w:val="es-ES" w:eastAsia="es-ES"/>
        </w:rPr>
        <w:t xml:space="preserve"> para los efectos legales que corresponda.</w:t>
      </w:r>
    </w:p>
    <w:p w14:paraId="19E612A5" w14:textId="77777777" w:rsidR="00400AE1" w:rsidRDefault="00400AE1" w:rsidP="00400AE1">
      <w:pPr>
        <w:spacing w:line="276" w:lineRule="auto"/>
        <w:jc w:val="both"/>
        <w:rPr>
          <w:rFonts w:ascii="Arial" w:eastAsia="Arial Unicode MS" w:hAnsi="Arial" w:cs="Arial"/>
        </w:rPr>
      </w:pPr>
    </w:p>
    <w:p w14:paraId="3F117BAE" w14:textId="3FE018F3" w:rsidR="0018582E" w:rsidRPr="00234BB7" w:rsidRDefault="00400AE1" w:rsidP="00400AE1">
      <w:pPr>
        <w:spacing w:line="276" w:lineRule="auto"/>
        <w:jc w:val="both"/>
        <w:rPr>
          <w:rFonts w:ascii="Arial" w:eastAsia="Arial Unicode MS" w:hAnsi="Arial" w:cs="Arial"/>
          <w:lang w:val="es-ES" w:eastAsia="es-ES"/>
        </w:rPr>
      </w:pPr>
      <w:r>
        <w:rPr>
          <w:rFonts w:ascii="Arial" w:eastAsia="Arial Unicode MS" w:hAnsi="Arial" w:cs="Arial"/>
          <w:b/>
          <w:bCs/>
        </w:rPr>
        <w:t>TERCERO</w:t>
      </w:r>
      <w:r w:rsidRPr="009B333D">
        <w:rPr>
          <w:rFonts w:ascii="Arial" w:eastAsia="Arial Unicode MS" w:hAnsi="Arial" w:cs="Arial"/>
          <w:b/>
          <w:bCs/>
        </w:rPr>
        <w:t>.</w:t>
      </w:r>
      <w:r>
        <w:rPr>
          <w:rFonts w:ascii="Arial" w:eastAsia="Arial Unicode MS" w:hAnsi="Arial" w:cs="Arial"/>
        </w:rPr>
        <w:t xml:space="preserve"> </w:t>
      </w:r>
      <w:r w:rsidR="00950AC6">
        <w:rPr>
          <w:rFonts w:ascii="Arial" w:eastAsia="Arial Unicode MS" w:hAnsi="Arial" w:cs="Arial"/>
        </w:rPr>
        <w:t>S</w:t>
      </w:r>
      <w:r w:rsidR="0018582E">
        <w:rPr>
          <w:rFonts w:ascii="Arial" w:eastAsia="Arial Unicode MS" w:hAnsi="Arial" w:cs="Arial"/>
        </w:rPr>
        <w:t xml:space="preserve">e </w:t>
      </w:r>
      <w:r w:rsidR="00234BB7" w:rsidRPr="00FD39C3">
        <w:rPr>
          <w:rFonts w:ascii="Arial" w:eastAsia="Arial Unicode MS" w:hAnsi="Arial" w:cs="Arial"/>
          <w:lang w:val="es-ES" w:eastAsia="es-ES"/>
        </w:rPr>
        <w:t xml:space="preserve">instruye a la Dirección de Tecnologías de Transparencia, para que publique el presente acuerdo en el </w:t>
      </w:r>
      <w:r w:rsidR="00234BB7">
        <w:rPr>
          <w:rFonts w:ascii="Arial" w:eastAsia="Arial Unicode MS" w:hAnsi="Arial" w:cs="Arial"/>
          <w:lang w:val="es-ES" w:eastAsia="es-ES"/>
        </w:rPr>
        <w:t>portal electrónico de este Órgano Garante</w:t>
      </w:r>
      <w:r w:rsidR="0018582E">
        <w:rPr>
          <w:rFonts w:ascii="Arial" w:eastAsia="Arial Unicode MS" w:hAnsi="Arial" w:cs="Arial"/>
        </w:rPr>
        <w:t>.</w:t>
      </w:r>
    </w:p>
    <w:p w14:paraId="76D20269" w14:textId="77777777" w:rsidR="00BF328F" w:rsidRPr="00F348BF" w:rsidRDefault="00BF328F" w:rsidP="00400AE1">
      <w:pPr>
        <w:spacing w:line="276" w:lineRule="auto"/>
        <w:jc w:val="both"/>
        <w:rPr>
          <w:rFonts w:ascii="Arial" w:eastAsia="Arial Unicode MS" w:hAnsi="Arial" w:cs="Arial"/>
        </w:rPr>
      </w:pPr>
    </w:p>
    <w:p w14:paraId="57EFA380" w14:textId="5504884A" w:rsidR="007E557D" w:rsidRDefault="00A41005" w:rsidP="00400AE1">
      <w:pPr>
        <w:shd w:val="clear" w:color="auto" w:fill="FFFFFF"/>
        <w:spacing w:after="225"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w:t>
      </w:r>
      <w:r w:rsidRPr="00BF328F">
        <w:rPr>
          <w:rFonts w:ascii="Arial" w:eastAsia="Times New Roman" w:hAnsi="Arial" w:cs="Arial"/>
          <w:color w:val="000000"/>
          <w:lang w:eastAsia="es-MX"/>
        </w:rPr>
        <w:t xml:space="preserve">Oaxaca de Juárez, Oaxaca a </w:t>
      </w:r>
      <w:r w:rsidR="00E0729B">
        <w:rPr>
          <w:rFonts w:ascii="Arial" w:eastAsia="Times New Roman" w:hAnsi="Arial" w:cs="Arial"/>
          <w:color w:val="000000"/>
          <w:lang w:eastAsia="es-MX"/>
        </w:rPr>
        <w:t xml:space="preserve">los </w:t>
      </w:r>
      <w:r w:rsidR="00982753">
        <w:rPr>
          <w:rFonts w:ascii="Arial" w:eastAsia="Times New Roman" w:hAnsi="Arial" w:cs="Arial"/>
          <w:color w:val="000000"/>
          <w:lang w:eastAsia="es-MX"/>
        </w:rPr>
        <w:t>s</w:t>
      </w:r>
      <w:r w:rsidR="008226B8">
        <w:rPr>
          <w:rFonts w:ascii="Arial" w:eastAsia="Times New Roman" w:hAnsi="Arial" w:cs="Arial"/>
          <w:color w:val="000000"/>
          <w:lang w:eastAsia="es-MX"/>
        </w:rPr>
        <w:t>eis</w:t>
      </w:r>
      <w:r w:rsidR="00E0729B">
        <w:rPr>
          <w:rFonts w:ascii="Arial" w:eastAsia="Times New Roman" w:hAnsi="Arial" w:cs="Arial"/>
          <w:color w:val="000000"/>
          <w:lang w:eastAsia="es-MX"/>
        </w:rPr>
        <w:t xml:space="preserve"> días del mes de </w:t>
      </w:r>
      <w:r w:rsidR="0017489F">
        <w:rPr>
          <w:rFonts w:ascii="Arial" w:eastAsia="Times New Roman" w:hAnsi="Arial" w:cs="Arial"/>
          <w:color w:val="000000"/>
          <w:lang w:eastAsia="es-MX"/>
        </w:rPr>
        <w:t>diciembre</w:t>
      </w:r>
      <w:r w:rsidRPr="00BF328F">
        <w:rPr>
          <w:rFonts w:ascii="Arial" w:eastAsia="Times New Roman" w:hAnsi="Arial" w:cs="Arial"/>
          <w:color w:val="000000"/>
          <w:lang w:eastAsia="es-MX"/>
        </w:rPr>
        <w:t xml:space="preserve"> </w:t>
      </w:r>
      <w:r w:rsidR="00E0729B">
        <w:rPr>
          <w:rFonts w:ascii="Arial" w:eastAsia="Times New Roman" w:hAnsi="Arial" w:cs="Arial"/>
          <w:color w:val="000000"/>
          <w:lang w:eastAsia="es-MX"/>
        </w:rPr>
        <w:t>del año dos mil veintiuno</w:t>
      </w:r>
      <w:r w:rsidRPr="00BF328F">
        <w:rPr>
          <w:rFonts w:ascii="Arial" w:eastAsia="Times New Roman" w:hAnsi="Arial" w:cs="Arial"/>
          <w:color w:val="000000"/>
          <w:lang w:eastAsia="es-MX"/>
        </w:rPr>
        <w:t>.</w:t>
      </w:r>
      <w:r w:rsidR="006B342C">
        <w:rPr>
          <w:rFonts w:ascii="Arial" w:eastAsia="Times New Roman" w:hAnsi="Arial" w:cs="Arial"/>
          <w:color w:val="000000"/>
          <w:lang w:eastAsia="es-MX"/>
        </w:rPr>
        <w:t xml:space="preserve"> Conste</w:t>
      </w:r>
      <w:r w:rsidR="007E557D">
        <w:rPr>
          <w:rFonts w:ascii="Arial" w:eastAsia="Times New Roman" w:hAnsi="Arial" w:cs="Arial"/>
          <w:color w:val="000000"/>
          <w:lang w:eastAsia="es-MX"/>
        </w:rPr>
        <w:t>.</w:t>
      </w:r>
    </w:p>
    <w:p w14:paraId="36D4F100" w14:textId="288235CA" w:rsidR="00C25068" w:rsidRDefault="00A41005" w:rsidP="00400AE1">
      <w:pPr>
        <w:shd w:val="clear" w:color="auto" w:fill="FFFFFF"/>
        <w:spacing w:after="225"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265643D3" w14:textId="5674CD64" w:rsidR="008226B8" w:rsidRDefault="008226B8" w:rsidP="00400AE1">
      <w:pPr>
        <w:shd w:val="clear" w:color="auto" w:fill="FFFFFF"/>
        <w:spacing w:after="225" w:line="276" w:lineRule="auto"/>
        <w:jc w:val="both"/>
        <w:rPr>
          <w:rFonts w:ascii="Arial" w:eastAsia="Times New Roman" w:hAnsi="Arial" w:cs="Arial"/>
          <w:color w:val="000000"/>
          <w:lang w:eastAsia="es-MX"/>
        </w:rPr>
      </w:pPr>
    </w:p>
    <w:p w14:paraId="59F86A11" w14:textId="2A09E7DE" w:rsidR="008226B8" w:rsidRDefault="008226B8" w:rsidP="00400AE1">
      <w:pPr>
        <w:shd w:val="clear" w:color="auto" w:fill="FFFFFF"/>
        <w:spacing w:after="225" w:line="276" w:lineRule="auto"/>
        <w:jc w:val="both"/>
        <w:rPr>
          <w:rFonts w:ascii="Arial" w:eastAsia="Times New Roman" w:hAnsi="Arial" w:cs="Arial"/>
          <w:color w:val="000000"/>
          <w:lang w:eastAsia="es-MX"/>
        </w:rPr>
      </w:pPr>
    </w:p>
    <w:p w14:paraId="5910F362" w14:textId="7A55D83B" w:rsidR="008226B8" w:rsidRDefault="008226B8" w:rsidP="00400AE1">
      <w:pPr>
        <w:shd w:val="clear" w:color="auto" w:fill="FFFFFF"/>
        <w:spacing w:after="225" w:line="276" w:lineRule="auto"/>
        <w:jc w:val="both"/>
        <w:rPr>
          <w:rFonts w:ascii="Arial" w:eastAsia="Times New Roman" w:hAnsi="Arial" w:cs="Arial"/>
          <w:color w:val="000000"/>
          <w:lang w:eastAsia="es-MX"/>
        </w:rPr>
      </w:pPr>
    </w:p>
    <w:p w14:paraId="4A554346" w14:textId="77777777" w:rsidR="008226B8" w:rsidRDefault="008226B8" w:rsidP="00400AE1">
      <w:pPr>
        <w:shd w:val="clear" w:color="auto" w:fill="FFFFFF"/>
        <w:spacing w:after="225" w:line="276" w:lineRule="auto"/>
        <w:jc w:val="both"/>
        <w:rPr>
          <w:rFonts w:ascii="Arial" w:eastAsia="Times New Roman" w:hAnsi="Arial" w:cs="Arial"/>
          <w:color w:val="000000"/>
          <w:lang w:eastAsia="es-MX"/>
        </w:rPr>
      </w:pPr>
    </w:p>
    <w:tbl>
      <w:tblPr>
        <w:tblStyle w:val="Tablaconcuadrcula"/>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57"/>
        <w:gridCol w:w="4674"/>
        <w:gridCol w:w="59"/>
        <w:gridCol w:w="151"/>
      </w:tblGrid>
      <w:tr w:rsidR="00B23C3D" w:rsidRPr="00F348BF" w14:paraId="122C7E76" w14:textId="77777777" w:rsidTr="00C53130">
        <w:trPr>
          <w:trHeight w:val="471"/>
        </w:trPr>
        <w:tc>
          <w:tcPr>
            <w:tcW w:w="9617" w:type="dxa"/>
            <w:gridSpan w:val="5"/>
          </w:tcPr>
          <w:p w14:paraId="13709226" w14:textId="77777777" w:rsidR="003C4361" w:rsidRDefault="003C4361" w:rsidP="008226B8">
            <w:pPr>
              <w:spacing w:line="276" w:lineRule="auto"/>
              <w:jc w:val="center"/>
              <w:rPr>
                <w:rFonts w:ascii="Arial" w:eastAsia="Arial Unicode MS" w:hAnsi="Arial" w:cs="Arial"/>
                <w:b/>
              </w:rPr>
            </w:pPr>
          </w:p>
          <w:p w14:paraId="7E8367A7" w14:textId="5CF3E3A1" w:rsidR="00B23C3D" w:rsidRPr="00F348BF" w:rsidRDefault="00B23C3D" w:rsidP="008226B8">
            <w:pPr>
              <w:spacing w:line="276" w:lineRule="auto"/>
              <w:jc w:val="center"/>
              <w:rPr>
                <w:rFonts w:ascii="Arial" w:eastAsia="Arial Unicode MS" w:hAnsi="Arial" w:cs="Arial"/>
                <w:b/>
                <w:bCs/>
                <w:color w:val="212529"/>
                <w:shd w:val="clear" w:color="auto" w:fill="FFFFFF"/>
              </w:rPr>
            </w:pPr>
            <w:r w:rsidRPr="00F348BF">
              <w:rPr>
                <w:rFonts w:ascii="Arial" w:eastAsia="Arial Unicode MS" w:hAnsi="Arial" w:cs="Arial"/>
                <w:b/>
              </w:rPr>
              <w:t xml:space="preserve">C. </w:t>
            </w:r>
            <w:r w:rsidRPr="00F348BF">
              <w:rPr>
                <w:rFonts w:ascii="Arial" w:eastAsia="Arial Unicode MS" w:hAnsi="Arial" w:cs="Arial"/>
                <w:b/>
                <w:bCs/>
                <w:color w:val="212529"/>
                <w:shd w:val="clear" w:color="auto" w:fill="FFFFFF"/>
              </w:rPr>
              <w:t xml:space="preserve">  José Luis Echeverría Morales</w:t>
            </w:r>
          </w:p>
        </w:tc>
      </w:tr>
      <w:tr w:rsidR="00B23C3D" w:rsidRPr="00F348BF" w14:paraId="1964F578" w14:textId="77777777" w:rsidTr="00C53130">
        <w:trPr>
          <w:trHeight w:val="80"/>
        </w:trPr>
        <w:tc>
          <w:tcPr>
            <w:tcW w:w="9617" w:type="dxa"/>
            <w:gridSpan w:val="5"/>
          </w:tcPr>
          <w:p w14:paraId="1DF4E3A9" w14:textId="77777777" w:rsidR="00B23C3D" w:rsidRDefault="00B23C3D" w:rsidP="008226B8">
            <w:pPr>
              <w:spacing w:line="276" w:lineRule="auto"/>
              <w:jc w:val="center"/>
              <w:rPr>
                <w:rFonts w:ascii="Arial" w:eastAsia="Arial Unicode MS" w:hAnsi="Arial" w:cs="Arial"/>
              </w:rPr>
            </w:pPr>
            <w:r w:rsidRPr="00F348BF">
              <w:rPr>
                <w:rFonts w:ascii="Arial" w:eastAsia="Arial Unicode MS" w:hAnsi="Arial" w:cs="Arial"/>
              </w:rPr>
              <w:t xml:space="preserve">Comisionado </w:t>
            </w:r>
            <w:proofErr w:type="gramStart"/>
            <w:r w:rsidRPr="00F348BF">
              <w:rPr>
                <w:rFonts w:ascii="Arial" w:eastAsia="Arial Unicode MS" w:hAnsi="Arial" w:cs="Arial"/>
              </w:rPr>
              <w:t>Presidente</w:t>
            </w:r>
            <w:proofErr w:type="gramEnd"/>
          </w:p>
          <w:p w14:paraId="4C8B90FE" w14:textId="77777777" w:rsidR="003D4511" w:rsidRDefault="003D4511" w:rsidP="008226B8">
            <w:pPr>
              <w:spacing w:line="276" w:lineRule="auto"/>
              <w:jc w:val="center"/>
              <w:rPr>
                <w:rFonts w:ascii="Arial" w:eastAsia="Arial Unicode MS" w:hAnsi="Arial" w:cs="Arial"/>
              </w:rPr>
            </w:pPr>
          </w:p>
          <w:p w14:paraId="4FFC3408" w14:textId="4B7465CC" w:rsidR="003D4511" w:rsidRPr="00F348BF" w:rsidRDefault="003D4511" w:rsidP="008226B8">
            <w:pPr>
              <w:spacing w:line="276" w:lineRule="auto"/>
              <w:jc w:val="center"/>
              <w:rPr>
                <w:rFonts w:ascii="Arial" w:eastAsia="Arial Unicode MS" w:hAnsi="Arial" w:cs="Arial"/>
              </w:rPr>
            </w:pPr>
          </w:p>
        </w:tc>
      </w:tr>
      <w:tr w:rsidR="00B23C3D" w:rsidRPr="00F348BF" w14:paraId="238A4AE5" w14:textId="0E133C70" w:rsidTr="00C53130">
        <w:trPr>
          <w:gridAfter w:val="2"/>
          <w:wAfter w:w="210" w:type="dxa"/>
          <w:trHeight w:val="68"/>
        </w:trPr>
        <w:tc>
          <w:tcPr>
            <w:tcW w:w="4276" w:type="dxa"/>
          </w:tcPr>
          <w:p w14:paraId="6C90BDFC" w14:textId="77777777" w:rsidR="00B23C3D" w:rsidRDefault="00B23C3D" w:rsidP="008226B8">
            <w:pPr>
              <w:spacing w:line="276" w:lineRule="auto"/>
              <w:ind w:right="-374"/>
              <w:jc w:val="center"/>
              <w:rPr>
                <w:rFonts w:ascii="Arial" w:eastAsia="Arial Unicode MS" w:hAnsi="Arial" w:cs="Arial"/>
                <w:b/>
                <w:bCs/>
                <w:color w:val="212529"/>
                <w:shd w:val="clear" w:color="auto" w:fill="FFFFFF"/>
              </w:rPr>
            </w:pPr>
            <w:r w:rsidRPr="00F348BF">
              <w:rPr>
                <w:rFonts w:ascii="Arial" w:eastAsia="Arial Unicode MS" w:hAnsi="Arial" w:cs="Arial"/>
                <w:b/>
              </w:rPr>
              <w:t xml:space="preserve">C. </w:t>
            </w:r>
            <w:r w:rsidRPr="00F348BF">
              <w:rPr>
                <w:rFonts w:ascii="Arial" w:eastAsia="Arial Unicode MS" w:hAnsi="Arial" w:cs="Arial"/>
                <w:b/>
                <w:bCs/>
                <w:color w:val="212529"/>
                <w:shd w:val="clear" w:color="auto" w:fill="FFFFFF"/>
              </w:rPr>
              <w:t>Claudia Ivette Soto Pineda</w:t>
            </w:r>
          </w:p>
          <w:p w14:paraId="09191D6B" w14:textId="0B1981AF" w:rsidR="00BF328F" w:rsidRPr="00F348BF" w:rsidRDefault="00BF328F" w:rsidP="008226B8">
            <w:pPr>
              <w:spacing w:line="276" w:lineRule="auto"/>
              <w:ind w:right="-374"/>
              <w:jc w:val="center"/>
              <w:rPr>
                <w:rFonts w:ascii="Arial" w:eastAsia="Arial Unicode MS" w:hAnsi="Arial" w:cs="Arial"/>
                <w:b/>
                <w:bCs/>
                <w:color w:val="212529"/>
                <w:shd w:val="clear" w:color="auto" w:fill="FFFFFF"/>
              </w:rPr>
            </w:pPr>
          </w:p>
        </w:tc>
        <w:tc>
          <w:tcPr>
            <w:tcW w:w="5131" w:type="dxa"/>
            <w:gridSpan w:val="2"/>
          </w:tcPr>
          <w:p w14:paraId="13025E92" w14:textId="34DBEAA3" w:rsidR="00B23C3D" w:rsidRPr="00F348BF" w:rsidRDefault="00B23C3D" w:rsidP="008226B8">
            <w:pPr>
              <w:spacing w:line="276" w:lineRule="auto"/>
              <w:ind w:left="618" w:right="-374"/>
              <w:jc w:val="center"/>
              <w:rPr>
                <w:rFonts w:ascii="Arial" w:eastAsia="Arial Unicode MS" w:hAnsi="Arial" w:cs="Arial"/>
                <w:b/>
                <w:bCs/>
                <w:color w:val="212529"/>
                <w:shd w:val="clear" w:color="auto" w:fill="FFFFFF"/>
              </w:rPr>
            </w:pPr>
            <w:r w:rsidRPr="00F348BF">
              <w:rPr>
                <w:rFonts w:ascii="Arial" w:eastAsia="Arial Unicode MS" w:hAnsi="Arial" w:cs="Arial"/>
                <w:b/>
              </w:rPr>
              <w:t xml:space="preserve">C. </w:t>
            </w:r>
            <w:r w:rsidRPr="00F348BF">
              <w:rPr>
                <w:rFonts w:ascii="Arial" w:eastAsia="Arial Unicode MS" w:hAnsi="Arial" w:cs="Arial"/>
                <w:b/>
                <w:bCs/>
                <w:color w:val="212529"/>
                <w:shd w:val="clear" w:color="auto" w:fill="FFFFFF"/>
              </w:rPr>
              <w:t>María Tanivet Ramos Reyes</w:t>
            </w:r>
          </w:p>
        </w:tc>
      </w:tr>
      <w:tr w:rsidR="00B23C3D" w:rsidRPr="00F348BF" w14:paraId="2D5950AA" w14:textId="6779E528" w:rsidTr="00C53130">
        <w:trPr>
          <w:gridAfter w:val="2"/>
          <w:wAfter w:w="210" w:type="dxa"/>
          <w:trHeight w:val="41"/>
        </w:trPr>
        <w:tc>
          <w:tcPr>
            <w:tcW w:w="4276" w:type="dxa"/>
          </w:tcPr>
          <w:p w14:paraId="429B7431" w14:textId="4402A760" w:rsidR="00B23C3D" w:rsidRPr="00F348BF" w:rsidRDefault="00B23C3D" w:rsidP="008226B8">
            <w:pPr>
              <w:spacing w:line="276" w:lineRule="auto"/>
              <w:ind w:right="-138"/>
              <w:jc w:val="center"/>
              <w:rPr>
                <w:rFonts w:ascii="Arial" w:eastAsia="Arial Unicode MS" w:hAnsi="Arial" w:cs="Arial"/>
              </w:rPr>
            </w:pPr>
            <w:r w:rsidRPr="00F348BF">
              <w:rPr>
                <w:rFonts w:ascii="Arial" w:eastAsia="Arial Unicode MS" w:hAnsi="Arial" w:cs="Arial"/>
              </w:rPr>
              <w:t>Comisionada</w:t>
            </w:r>
          </w:p>
          <w:p w14:paraId="5C1383E0" w14:textId="77777777" w:rsidR="00B23C3D" w:rsidRDefault="00B23C3D" w:rsidP="008226B8">
            <w:pPr>
              <w:spacing w:line="276" w:lineRule="auto"/>
              <w:ind w:right="-374"/>
              <w:jc w:val="center"/>
              <w:rPr>
                <w:rFonts w:ascii="Arial" w:eastAsia="Arial Unicode MS" w:hAnsi="Arial" w:cs="Arial"/>
              </w:rPr>
            </w:pPr>
          </w:p>
          <w:p w14:paraId="53381779" w14:textId="77777777" w:rsidR="003D4511" w:rsidRDefault="003D4511" w:rsidP="008226B8">
            <w:pPr>
              <w:spacing w:line="276" w:lineRule="auto"/>
              <w:ind w:right="-374"/>
              <w:jc w:val="center"/>
              <w:rPr>
                <w:rFonts w:ascii="Arial" w:eastAsia="Arial Unicode MS" w:hAnsi="Arial" w:cs="Arial"/>
              </w:rPr>
            </w:pPr>
          </w:p>
          <w:p w14:paraId="0B67EF70" w14:textId="73B71F49" w:rsidR="003D4511" w:rsidRPr="00F348BF" w:rsidRDefault="003D4511" w:rsidP="008226B8">
            <w:pPr>
              <w:spacing w:line="276" w:lineRule="auto"/>
              <w:ind w:right="-374"/>
              <w:jc w:val="center"/>
              <w:rPr>
                <w:rFonts w:ascii="Arial" w:eastAsia="Arial Unicode MS" w:hAnsi="Arial" w:cs="Arial"/>
              </w:rPr>
            </w:pPr>
          </w:p>
        </w:tc>
        <w:tc>
          <w:tcPr>
            <w:tcW w:w="5131" w:type="dxa"/>
            <w:gridSpan w:val="2"/>
          </w:tcPr>
          <w:p w14:paraId="4A59210C" w14:textId="73C5441B" w:rsidR="00B23C3D" w:rsidRPr="00F348BF" w:rsidRDefault="00B23C3D" w:rsidP="008226B8">
            <w:pPr>
              <w:spacing w:line="276" w:lineRule="auto"/>
              <w:ind w:left="618" w:right="-374"/>
              <w:jc w:val="center"/>
              <w:rPr>
                <w:rFonts w:ascii="Arial" w:eastAsia="Arial Unicode MS" w:hAnsi="Arial" w:cs="Arial"/>
              </w:rPr>
            </w:pPr>
            <w:r w:rsidRPr="00F348BF">
              <w:rPr>
                <w:rFonts w:ascii="Arial" w:eastAsia="Arial Unicode MS" w:hAnsi="Arial" w:cs="Arial"/>
              </w:rPr>
              <w:t>Comisionada</w:t>
            </w:r>
          </w:p>
        </w:tc>
      </w:tr>
      <w:tr w:rsidR="00B23C3D" w:rsidRPr="00F348BF" w14:paraId="4D2E4521" w14:textId="57817EF5" w:rsidTr="00C53130">
        <w:trPr>
          <w:gridAfter w:val="1"/>
          <w:wAfter w:w="151" w:type="dxa"/>
          <w:trHeight w:val="252"/>
        </w:trPr>
        <w:tc>
          <w:tcPr>
            <w:tcW w:w="4733" w:type="dxa"/>
            <w:gridSpan w:val="2"/>
          </w:tcPr>
          <w:p w14:paraId="0F2D053A" w14:textId="5739E67B" w:rsidR="00B23C3D" w:rsidRPr="00F348BF" w:rsidRDefault="00B23C3D" w:rsidP="008226B8">
            <w:pPr>
              <w:spacing w:line="276" w:lineRule="auto"/>
              <w:ind w:right="145"/>
              <w:jc w:val="center"/>
              <w:rPr>
                <w:rFonts w:ascii="Arial" w:eastAsia="Arial Unicode MS" w:hAnsi="Arial" w:cs="Arial"/>
                <w:b/>
                <w:bCs/>
                <w:color w:val="212529"/>
                <w:shd w:val="clear" w:color="auto" w:fill="FFFFFF"/>
              </w:rPr>
            </w:pPr>
            <w:r w:rsidRPr="00F348BF">
              <w:rPr>
                <w:rFonts w:ascii="Arial" w:eastAsia="Arial Unicode MS" w:hAnsi="Arial" w:cs="Arial"/>
                <w:b/>
              </w:rPr>
              <w:t xml:space="preserve">C. </w:t>
            </w:r>
            <w:r w:rsidRPr="00F348BF">
              <w:rPr>
                <w:rFonts w:ascii="Arial" w:eastAsia="Arial Unicode MS" w:hAnsi="Arial" w:cs="Arial"/>
                <w:b/>
                <w:bCs/>
                <w:color w:val="212529"/>
                <w:shd w:val="clear" w:color="auto" w:fill="FFFFFF"/>
              </w:rPr>
              <w:t>Xóchitl Elizabeth Méndez Sánchez</w:t>
            </w:r>
          </w:p>
        </w:tc>
        <w:tc>
          <w:tcPr>
            <w:tcW w:w="4733" w:type="dxa"/>
            <w:gridSpan w:val="2"/>
          </w:tcPr>
          <w:p w14:paraId="1DF05EB6" w14:textId="296E4090" w:rsidR="00B23C3D" w:rsidRPr="00F348BF" w:rsidRDefault="00B23C3D" w:rsidP="008226B8">
            <w:pPr>
              <w:spacing w:line="276" w:lineRule="auto"/>
              <w:ind w:left="216"/>
              <w:jc w:val="center"/>
              <w:rPr>
                <w:rFonts w:ascii="Arial" w:eastAsia="Arial Unicode MS" w:hAnsi="Arial" w:cs="Arial"/>
                <w:b/>
                <w:bCs/>
                <w:color w:val="212529"/>
                <w:shd w:val="clear" w:color="auto" w:fill="FFFFFF"/>
              </w:rPr>
            </w:pPr>
            <w:r w:rsidRPr="00F348BF">
              <w:rPr>
                <w:rFonts w:ascii="Arial" w:eastAsia="Arial Unicode MS" w:hAnsi="Arial" w:cs="Arial"/>
                <w:b/>
              </w:rPr>
              <w:t xml:space="preserve">C. </w:t>
            </w:r>
            <w:r w:rsidRPr="00F348BF">
              <w:rPr>
                <w:rFonts w:ascii="Arial" w:eastAsia="Arial Unicode MS" w:hAnsi="Arial" w:cs="Arial"/>
                <w:b/>
                <w:bCs/>
              </w:rPr>
              <w:t>Josué Solana Salmorán</w:t>
            </w:r>
          </w:p>
        </w:tc>
      </w:tr>
      <w:tr w:rsidR="00B23C3D" w:rsidRPr="00F348BF" w14:paraId="554EFD0D" w14:textId="05AFA2FE" w:rsidTr="00C53130">
        <w:trPr>
          <w:gridAfter w:val="1"/>
          <w:wAfter w:w="151" w:type="dxa"/>
          <w:trHeight w:val="42"/>
        </w:trPr>
        <w:tc>
          <w:tcPr>
            <w:tcW w:w="4733" w:type="dxa"/>
            <w:gridSpan w:val="2"/>
          </w:tcPr>
          <w:p w14:paraId="422832D7" w14:textId="71D2B84A" w:rsidR="00B23C3D" w:rsidRPr="00F348BF" w:rsidRDefault="00B23C3D" w:rsidP="008226B8">
            <w:pPr>
              <w:spacing w:line="276" w:lineRule="auto"/>
              <w:jc w:val="center"/>
              <w:rPr>
                <w:rFonts w:ascii="Arial" w:eastAsia="Arial Unicode MS" w:hAnsi="Arial" w:cs="Arial"/>
              </w:rPr>
            </w:pPr>
            <w:r w:rsidRPr="00F348BF">
              <w:rPr>
                <w:rFonts w:ascii="Arial" w:eastAsia="Arial Unicode MS" w:hAnsi="Arial" w:cs="Arial"/>
              </w:rPr>
              <w:t>Comisionada</w:t>
            </w:r>
          </w:p>
          <w:p w14:paraId="031EF2A3" w14:textId="17841BB8" w:rsidR="00B23C3D" w:rsidRPr="00F348BF" w:rsidRDefault="00B23C3D" w:rsidP="008226B8">
            <w:pPr>
              <w:spacing w:line="276" w:lineRule="auto"/>
              <w:jc w:val="center"/>
              <w:rPr>
                <w:rFonts w:ascii="Arial" w:eastAsia="Arial Unicode MS" w:hAnsi="Arial" w:cs="Arial"/>
              </w:rPr>
            </w:pPr>
          </w:p>
        </w:tc>
        <w:tc>
          <w:tcPr>
            <w:tcW w:w="4733" w:type="dxa"/>
            <w:gridSpan w:val="2"/>
          </w:tcPr>
          <w:p w14:paraId="3E0C931C" w14:textId="3BF4F215" w:rsidR="00B23C3D" w:rsidRPr="00F348BF" w:rsidRDefault="00B23C3D" w:rsidP="008226B8">
            <w:pPr>
              <w:spacing w:line="276" w:lineRule="auto"/>
              <w:jc w:val="center"/>
              <w:rPr>
                <w:rFonts w:ascii="Arial" w:eastAsia="Arial Unicode MS" w:hAnsi="Arial" w:cs="Arial"/>
              </w:rPr>
            </w:pPr>
            <w:r w:rsidRPr="00F348BF">
              <w:rPr>
                <w:rFonts w:ascii="Arial" w:eastAsia="Arial Unicode MS" w:hAnsi="Arial" w:cs="Arial"/>
              </w:rPr>
              <w:t>Comisionado</w:t>
            </w:r>
          </w:p>
        </w:tc>
      </w:tr>
    </w:tbl>
    <w:p w14:paraId="0E308018" w14:textId="77777777" w:rsidR="00B23C3D" w:rsidRPr="00F348BF" w:rsidRDefault="00B23C3D" w:rsidP="00400AE1">
      <w:pPr>
        <w:spacing w:line="276" w:lineRule="auto"/>
        <w:jc w:val="center"/>
        <w:rPr>
          <w:rFonts w:ascii="Arial" w:eastAsia="Arial Unicode MS" w:hAnsi="Arial" w:cs="Arial"/>
          <w:color w:val="212529"/>
          <w:shd w:val="clear" w:color="auto" w:fill="FFFFFF"/>
        </w:rPr>
      </w:pPr>
    </w:p>
    <w:p w14:paraId="6C52548C" w14:textId="77777777" w:rsidR="007C5030" w:rsidRDefault="007C5030" w:rsidP="00400AE1">
      <w:pPr>
        <w:spacing w:line="276" w:lineRule="auto"/>
        <w:jc w:val="center"/>
        <w:rPr>
          <w:rFonts w:ascii="Arial" w:eastAsia="Arial Unicode MS" w:hAnsi="Arial" w:cs="Arial"/>
          <w:b/>
        </w:rPr>
      </w:pPr>
    </w:p>
    <w:p w14:paraId="75AEC586" w14:textId="2E321090" w:rsidR="00B23C3D" w:rsidRPr="00F348BF" w:rsidRDefault="00B23C3D" w:rsidP="008226B8">
      <w:pPr>
        <w:spacing w:line="276" w:lineRule="auto"/>
        <w:jc w:val="center"/>
        <w:rPr>
          <w:rFonts w:ascii="Arial" w:eastAsia="Arial Unicode MS" w:hAnsi="Arial" w:cs="Arial"/>
          <w:b/>
        </w:rPr>
      </w:pPr>
      <w:r w:rsidRPr="00F348BF">
        <w:rPr>
          <w:rFonts w:ascii="Arial" w:eastAsia="Arial Unicode MS" w:hAnsi="Arial" w:cs="Arial"/>
          <w:b/>
        </w:rPr>
        <w:t>C. Luis Alberto Pavón Mercado</w:t>
      </w:r>
    </w:p>
    <w:p w14:paraId="6E55E17A" w14:textId="3A02F673" w:rsidR="00A41005" w:rsidRDefault="00B23C3D" w:rsidP="008226B8">
      <w:pPr>
        <w:spacing w:line="276" w:lineRule="auto"/>
        <w:jc w:val="center"/>
        <w:rPr>
          <w:rFonts w:ascii="Arial" w:eastAsia="Arial Unicode MS" w:hAnsi="Arial" w:cs="Arial"/>
        </w:rPr>
      </w:pPr>
      <w:r w:rsidRPr="00F348BF">
        <w:rPr>
          <w:rFonts w:ascii="Arial" w:eastAsia="Arial Unicode MS" w:hAnsi="Arial" w:cs="Arial"/>
        </w:rPr>
        <w:t>Secretario General de Acuerdos</w:t>
      </w:r>
    </w:p>
    <w:p w14:paraId="1EB57A83" w14:textId="3329BA2C" w:rsidR="00234BB7" w:rsidRDefault="00234BB7" w:rsidP="00400AE1">
      <w:pPr>
        <w:spacing w:line="276" w:lineRule="auto"/>
        <w:jc w:val="center"/>
        <w:rPr>
          <w:rFonts w:ascii="Arial" w:eastAsia="Arial Unicode MS" w:hAnsi="Arial" w:cs="Arial"/>
        </w:rPr>
      </w:pPr>
    </w:p>
    <w:p w14:paraId="62D807DE" w14:textId="14B2C058" w:rsidR="00234BB7" w:rsidRDefault="00234BB7" w:rsidP="00400AE1">
      <w:pPr>
        <w:spacing w:line="276" w:lineRule="auto"/>
        <w:jc w:val="center"/>
        <w:rPr>
          <w:rFonts w:ascii="Arial" w:eastAsia="Arial Unicode MS" w:hAnsi="Arial" w:cs="Arial"/>
        </w:rPr>
      </w:pPr>
    </w:p>
    <w:p w14:paraId="446411AC" w14:textId="0A906771" w:rsidR="00234BB7" w:rsidRPr="00234BB7" w:rsidRDefault="00234BB7" w:rsidP="00234BB7">
      <w:pPr>
        <w:spacing w:line="276" w:lineRule="auto"/>
        <w:jc w:val="both"/>
        <w:rPr>
          <w:rFonts w:ascii="Arial" w:eastAsia="Arial Unicode MS" w:hAnsi="Arial" w:cs="Arial"/>
          <w:b/>
          <w:sz w:val="20"/>
          <w:szCs w:val="20"/>
          <w:lang w:eastAsia="es-ES"/>
        </w:rPr>
      </w:pPr>
      <w:r>
        <w:rPr>
          <w:rFonts w:ascii="Arial" w:eastAsia="Arial Unicode MS" w:hAnsi="Arial" w:cs="Arial"/>
          <w:b/>
          <w:bCs/>
          <w:sz w:val="20"/>
          <w:szCs w:val="20"/>
        </w:rPr>
        <w:t>LAS PRESENTES FIRMAS CORRESPONDEN AL A</w:t>
      </w:r>
      <w:r w:rsidRPr="00234BB7">
        <w:rPr>
          <w:rFonts w:ascii="Arial" w:eastAsia="Arial Unicode MS" w:hAnsi="Arial" w:cs="Arial"/>
          <w:b/>
          <w:bCs/>
          <w:sz w:val="20"/>
          <w:szCs w:val="20"/>
        </w:rPr>
        <w:t xml:space="preserve">CUERDO NÚMERO </w:t>
      </w:r>
      <w:r w:rsidRPr="00234BB7">
        <w:rPr>
          <w:rFonts w:ascii="Arial" w:eastAsia="Arial Unicode MS" w:hAnsi="Arial" w:cs="Arial"/>
          <w:b/>
          <w:sz w:val="20"/>
          <w:szCs w:val="20"/>
        </w:rPr>
        <w:t xml:space="preserve">OGAIPO/CG/019/2021 </w:t>
      </w:r>
      <w:r w:rsidRPr="00234BB7">
        <w:rPr>
          <w:rFonts w:ascii="Arial" w:eastAsia="Arial Unicode MS" w:hAnsi="Arial" w:cs="Arial"/>
          <w:b/>
          <w:bCs/>
          <w:sz w:val="20"/>
          <w:szCs w:val="20"/>
        </w:rPr>
        <w:t xml:space="preserve">MEDIANTE EL CUAL EL CONSEJO GENERAL DEL ÓRGANO GARANTE DE ACCESO A LA INFORMACIÓN PÚBLICA, TRANSPARENCIA, PROTECCIÓN DE DATOS PERSONALES Y BUEN GOBIERNO DEL ESTADO DE OAXACA, </w:t>
      </w:r>
      <w:r>
        <w:rPr>
          <w:rFonts w:ascii="Arial" w:eastAsia="Arial Unicode MS" w:hAnsi="Arial" w:cs="Arial"/>
          <w:b/>
          <w:sz w:val="20"/>
          <w:szCs w:val="20"/>
          <w:lang w:eastAsia="es-ES"/>
        </w:rPr>
        <w:t>APRUEBA LOS DICTAMENES</w:t>
      </w:r>
      <w:r w:rsidRPr="00234BB7">
        <w:rPr>
          <w:rFonts w:ascii="Arial" w:eastAsia="Arial Unicode MS" w:hAnsi="Arial" w:cs="Arial"/>
          <w:b/>
          <w:sz w:val="20"/>
          <w:szCs w:val="20"/>
          <w:lang w:eastAsia="es-ES"/>
        </w:rPr>
        <w:t xml:space="preserve"> DE CUMPLIMIENTO </w:t>
      </w:r>
      <w:r>
        <w:rPr>
          <w:rFonts w:ascii="Arial" w:eastAsia="Arial Unicode MS" w:hAnsi="Arial" w:cs="Arial"/>
          <w:b/>
          <w:sz w:val="20"/>
          <w:szCs w:val="20"/>
          <w:lang w:eastAsia="es-ES"/>
        </w:rPr>
        <w:t>E</w:t>
      </w:r>
      <w:r w:rsidRPr="00234BB7">
        <w:rPr>
          <w:rFonts w:ascii="Arial" w:eastAsia="Arial Unicode MS" w:hAnsi="Arial" w:cs="Arial"/>
          <w:b/>
          <w:sz w:val="20"/>
          <w:szCs w:val="20"/>
          <w:lang w:eastAsia="es-ES"/>
        </w:rPr>
        <w:t xml:space="preserve"> INCUMPLIMIENTO </w:t>
      </w:r>
      <w:r w:rsidR="006F14C1">
        <w:rPr>
          <w:rFonts w:ascii="Arial" w:eastAsia="Arial Unicode MS" w:hAnsi="Arial" w:cs="Arial"/>
          <w:b/>
          <w:sz w:val="20"/>
          <w:szCs w:val="20"/>
          <w:lang w:eastAsia="es-ES"/>
        </w:rPr>
        <w:t>DE</w:t>
      </w:r>
      <w:r w:rsidRPr="00234BB7">
        <w:rPr>
          <w:rFonts w:ascii="Arial" w:eastAsia="Arial Unicode MS" w:hAnsi="Arial" w:cs="Arial"/>
          <w:b/>
          <w:sz w:val="20"/>
          <w:szCs w:val="20"/>
          <w:lang w:eastAsia="es-ES"/>
        </w:rPr>
        <w:t xml:space="preserve"> LOS RESULTADOS DE LA VERIFICACIÓN VIRTUAL 2021 </w:t>
      </w:r>
      <w:r w:rsidRPr="00234BB7">
        <w:rPr>
          <w:rFonts w:ascii="Arial" w:hAnsi="Arial" w:cs="Arial"/>
          <w:b/>
          <w:bCs/>
          <w:color w:val="222222"/>
          <w:sz w:val="20"/>
          <w:szCs w:val="20"/>
          <w:shd w:val="clear" w:color="auto" w:fill="FFFFFF"/>
        </w:rPr>
        <w:t>DE LAS OBLIGACIONES DE TRANSPARENCIA, QUE EMITE LA DIRECCIÓN DE COMUNICACIÓN, CAPACITACIÓN, EVALUACIÓN, ARCHIVO Y DATOS PERSONALES.</w:t>
      </w:r>
    </w:p>
    <w:p w14:paraId="2889AAA4" w14:textId="77777777" w:rsidR="00234BB7" w:rsidRPr="00BF328F" w:rsidRDefault="00234BB7" w:rsidP="00400AE1">
      <w:pPr>
        <w:spacing w:line="276" w:lineRule="auto"/>
        <w:jc w:val="center"/>
        <w:rPr>
          <w:rFonts w:ascii="Arial" w:eastAsia="Arial Unicode MS" w:hAnsi="Arial" w:cs="Arial"/>
        </w:rPr>
      </w:pPr>
    </w:p>
    <w:sectPr w:rsidR="00234BB7" w:rsidRPr="00BF328F" w:rsidSect="00400AE1">
      <w:headerReference w:type="default" r:id="rId8"/>
      <w:pgSz w:w="12242" w:h="20163" w:code="5"/>
      <w:pgMar w:top="2269" w:right="1701" w:bottom="1701"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96A1" w14:textId="77777777" w:rsidR="001325F9" w:rsidRDefault="001325F9" w:rsidP="00505074">
      <w:r>
        <w:separator/>
      </w:r>
    </w:p>
  </w:endnote>
  <w:endnote w:type="continuationSeparator" w:id="0">
    <w:p w14:paraId="4156722A" w14:textId="77777777" w:rsidR="001325F9" w:rsidRDefault="001325F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5ED8" w14:textId="77777777" w:rsidR="001325F9" w:rsidRDefault="001325F9" w:rsidP="00505074">
      <w:r>
        <w:separator/>
      </w:r>
    </w:p>
  </w:footnote>
  <w:footnote w:type="continuationSeparator" w:id="0">
    <w:p w14:paraId="684F5F9C" w14:textId="77777777" w:rsidR="001325F9" w:rsidRDefault="001325F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9F019E8" w:rsidR="00DC65C4" w:rsidRDefault="00CC05E7">
    <w:pPr>
      <w:pStyle w:val="Encabezado"/>
    </w:pPr>
    <w:r>
      <w:rPr>
        <w:noProof/>
      </w:rPr>
      <w:drawing>
        <wp:anchor distT="0" distB="0" distL="114300" distR="114300" simplePos="0" relativeHeight="251675648" behindDoc="0" locked="0" layoutInCell="1" allowOverlap="1" wp14:anchorId="56B16637" wp14:editId="17EE47CF">
          <wp:simplePos x="0" y="0"/>
          <wp:positionH relativeFrom="column">
            <wp:posOffset>2715850</wp:posOffset>
          </wp:positionH>
          <wp:positionV relativeFrom="paragraph">
            <wp:posOffset>5147630</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F02"/>
    <w:multiLevelType w:val="hybridMultilevel"/>
    <w:tmpl w:val="B04E4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04B56"/>
    <w:multiLevelType w:val="hybridMultilevel"/>
    <w:tmpl w:val="EB42CC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E135E"/>
    <w:multiLevelType w:val="hybridMultilevel"/>
    <w:tmpl w:val="7CF2DA2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32365D5"/>
    <w:multiLevelType w:val="hybridMultilevel"/>
    <w:tmpl w:val="E10AF52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53F4731"/>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676D9"/>
    <w:multiLevelType w:val="hybridMultilevel"/>
    <w:tmpl w:val="881281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75FF6"/>
    <w:multiLevelType w:val="hybridMultilevel"/>
    <w:tmpl w:val="64520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96471"/>
    <w:multiLevelType w:val="hybridMultilevel"/>
    <w:tmpl w:val="FAFC39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3154AE"/>
    <w:multiLevelType w:val="hybridMultilevel"/>
    <w:tmpl w:val="AE5EE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44545"/>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E789A"/>
    <w:multiLevelType w:val="hybridMultilevel"/>
    <w:tmpl w:val="26CE05C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3FF15DB"/>
    <w:multiLevelType w:val="hybridMultilevel"/>
    <w:tmpl w:val="685AA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4B62DA"/>
    <w:multiLevelType w:val="hybridMultilevel"/>
    <w:tmpl w:val="7A686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F7D7D"/>
    <w:multiLevelType w:val="hybridMultilevel"/>
    <w:tmpl w:val="121067A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73DC9"/>
    <w:multiLevelType w:val="hybridMultilevel"/>
    <w:tmpl w:val="15361DF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6343854"/>
    <w:multiLevelType w:val="hybridMultilevel"/>
    <w:tmpl w:val="4BBA991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8" w15:restartNumberingAfterBreak="0">
    <w:nsid w:val="375440B4"/>
    <w:multiLevelType w:val="hybridMultilevel"/>
    <w:tmpl w:val="01B82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5E6F6F"/>
    <w:multiLevelType w:val="hybridMultilevel"/>
    <w:tmpl w:val="9AB6C532"/>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5E856606"/>
    <w:multiLevelType w:val="hybridMultilevel"/>
    <w:tmpl w:val="8146C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8F0722"/>
    <w:multiLevelType w:val="hybridMultilevel"/>
    <w:tmpl w:val="8EAE4FA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9307F6"/>
    <w:multiLevelType w:val="hybridMultilevel"/>
    <w:tmpl w:val="372058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4612BB"/>
    <w:multiLevelType w:val="hybridMultilevel"/>
    <w:tmpl w:val="76F06DDA"/>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A46B57"/>
    <w:multiLevelType w:val="hybridMultilevel"/>
    <w:tmpl w:val="514AF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753904"/>
    <w:multiLevelType w:val="hybridMultilevel"/>
    <w:tmpl w:val="170EE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1253CD"/>
    <w:multiLevelType w:val="hybridMultilevel"/>
    <w:tmpl w:val="1CB257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226BB3"/>
    <w:multiLevelType w:val="hybridMultilevel"/>
    <w:tmpl w:val="176CC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BE4DA2"/>
    <w:multiLevelType w:val="hybridMultilevel"/>
    <w:tmpl w:val="62DC0476"/>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6892CB8"/>
    <w:multiLevelType w:val="hybridMultilevel"/>
    <w:tmpl w:val="BAD04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0260F6"/>
    <w:multiLevelType w:val="hybridMultilevel"/>
    <w:tmpl w:val="F2CE4AC4"/>
    <w:lvl w:ilvl="0" w:tplc="D89EB4C0">
      <w:start w:val="1"/>
      <w:numFmt w:val="decimal"/>
      <w:lvlText w:val="%1."/>
      <w:lvlJc w:val="left"/>
      <w:pPr>
        <w:ind w:left="1065" w:hanging="705"/>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123DFA"/>
    <w:multiLevelType w:val="hybridMultilevel"/>
    <w:tmpl w:val="A6688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3B6C8D"/>
    <w:multiLevelType w:val="hybridMultilevel"/>
    <w:tmpl w:val="63BED1D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3"/>
  </w:num>
  <w:num w:numId="2">
    <w:abstractNumId w:val="24"/>
  </w:num>
  <w:num w:numId="3">
    <w:abstractNumId w:val="13"/>
  </w:num>
  <w:num w:numId="4">
    <w:abstractNumId w:val="5"/>
  </w:num>
  <w:num w:numId="5">
    <w:abstractNumId w:val="25"/>
  </w:num>
  <w:num w:numId="6">
    <w:abstractNumId w:val="29"/>
  </w:num>
  <w:num w:numId="7">
    <w:abstractNumId w:val="20"/>
  </w:num>
  <w:num w:numId="8">
    <w:abstractNumId w:val="30"/>
  </w:num>
  <w:num w:numId="9">
    <w:abstractNumId w:val="27"/>
  </w:num>
  <w:num w:numId="10">
    <w:abstractNumId w:val="9"/>
  </w:num>
  <w:num w:numId="11">
    <w:abstractNumId w:val="19"/>
  </w:num>
  <w:num w:numId="12">
    <w:abstractNumId w:val="2"/>
  </w:num>
  <w:num w:numId="13">
    <w:abstractNumId w:val="6"/>
  </w:num>
  <w:num w:numId="14">
    <w:abstractNumId w:val="26"/>
  </w:num>
  <w:num w:numId="15">
    <w:abstractNumId w:val="31"/>
  </w:num>
  <w:num w:numId="16">
    <w:abstractNumId w:val="12"/>
  </w:num>
  <w:num w:numId="17">
    <w:abstractNumId w:val="22"/>
  </w:num>
  <w:num w:numId="18">
    <w:abstractNumId w:val="10"/>
  </w:num>
  <w:num w:numId="19">
    <w:abstractNumId w:val="0"/>
  </w:num>
  <w:num w:numId="20">
    <w:abstractNumId w:val="11"/>
  </w:num>
  <w:num w:numId="21">
    <w:abstractNumId w:val="8"/>
  </w:num>
  <w:num w:numId="22">
    <w:abstractNumId w:val="18"/>
  </w:num>
  <w:num w:numId="23">
    <w:abstractNumId w:val="14"/>
  </w:num>
  <w:num w:numId="24">
    <w:abstractNumId w:val="4"/>
  </w:num>
  <w:num w:numId="25">
    <w:abstractNumId w:val="28"/>
  </w:num>
  <w:num w:numId="26">
    <w:abstractNumId w:val="1"/>
  </w:num>
  <w:num w:numId="27">
    <w:abstractNumId w:val="32"/>
  </w:num>
  <w:num w:numId="28">
    <w:abstractNumId w:val="16"/>
  </w:num>
  <w:num w:numId="29">
    <w:abstractNumId w:val="3"/>
  </w:num>
  <w:num w:numId="30">
    <w:abstractNumId w:val="15"/>
  </w:num>
  <w:num w:numId="31">
    <w:abstractNumId w:val="7"/>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44D2B"/>
    <w:rsid w:val="00067F30"/>
    <w:rsid w:val="00075AB7"/>
    <w:rsid w:val="00076580"/>
    <w:rsid w:val="000948A0"/>
    <w:rsid w:val="000A1F1C"/>
    <w:rsid w:val="000C136A"/>
    <w:rsid w:val="000C3987"/>
    <w:rsid w:val="000C4534"/>
    <w:rsid w:val="000E5A71"/>
    <w:rsid w:val="001017FE"/>
    <w:rsid w:val="00122FB4"/>
    <w:rsid w:val="001325F9"/>
    <w:rsid w:val="001346A9"/>
    <w:rsid w:val="001438BD"/>
    <w:rsid w:val="00150315"/>
    <w:rsid w:val="00156F74"/>
    <w:rsid w:val="001624DB"/>
    <w:rsid w:val="0017489F"/>
    <w:rsid w:val="0018582E"/>
    <w:rsid w:val="00191709"/>
    <w:rsid w:val="001C2050"/>
    <w:rsid w:val="001C3A24"/>
    <w:rsid w:val="001C5977"/>
    <w:rsid w:val="001D30EE"/>
    <w:rsid w:val="001E75AA"/>
    <w:rsid w:val="002060F1"/>
    <w:rsid w:val="00234BB7"/>
    <w:rsid w:val="0027769B"/>
    <w:rsid w:val="00277CCE"/>
    <w:rsid w:val="00283F1C"/>
    <w:rsid w:val="002D152B"/>
    <w:rsid w:val="002D3823"/>
    <w:rsid w:val="002E1D71"/>
    <w:rsid w:val="002E51F9"/>
    <w:rsid w:val="002F229B"/>
    <w:rsid w:val="002F6229"/>
    <w:rsid w:val="00304A44"/>
    <w:rsid w:val="00320B59"/>
    <w:rsid w:val="00351EB0"/>
    <w:rsid w:val="00363A74"/>
    <w:rsid w:val="0037163E"/>
    <w:rsid w:val="00374100"/>
    <w:rsid w:val="003B53B9"/>
    <w:rsid w:val="003C4361"/>
    <w:rsid w:val="003D137F"/>
    <w:rsid w:val="003D4511"/>
    <w:rsid w:val="003E1C82"/>
    <w:rsid w:val="003F2060"/>
    <w:rsid w:val="003F7C21"/>
    <w:rsid w:val="00400AE1"/>
    <w:rsid w:val="00412659"/>
    <w:rsid w:val="00417617"/>
    <w:rsid w:val="00426C77"/>
    <w:rsid w:val="004416A8"/>
    <w:rsid w:val="00481753"/>
    <w:rsid w:val="00492CF5"/>
    <w:rsid w:val="00496B6A"/>
    <w:rsid w:val="004A142C"/>
    <w:rsid w:val="004D26BE"/>
    <w:rsid w:val="004E2080"/>
    <w:rsid w:val="00505074"/>
    <w:rsid w:val="00510CC6"/>
    <w:rsid w:val="0055504F"/>
    <w:rsid w:val="00560D1C"/>
    <w:rsid w:val="00583811"/>
    <w:rsid w:val="00586343"/>
    <w:rsid w:val="00586B0B"/>
    <w:rsid w:val="005F6794"/>
    <w:rsid w:val="006041CD"/>
    <w:rsid w:val="0061401C"/>
    <w:rsid w:val="0062297A"/>
    <w:rsid w:val="006636AC"/>
    <w:rsid w:val="006647D2"/>
    <w:rsid w:val="00696E3C"/>
    <w:rsid w:val="00697992"/>
    <w:rsid w:val="006A0EF1"/>
    <w:rsid w:val="006A0EFF"/>
    <w:rsid w:val="006B342C"/>
    <w:rsid w:val="006C099A"/>
    <w:rsid w:val="006F14C1"/>
    <w:rsid w:val="00716AEA"/>
    <w:rsid w:val="00723958"/>
    <w:rsid w:val="00747EFA"/>
    <w:rsid w:val="007525EB"/>
    <w:rsid w:val="007528A1"/>
    <w:rsid w:val="00783A63"/>
    <w:rsid w:val="007C5030"/>
    <w:rsid w:val="007D0D9D"/>
    <w:rsid w:val="007E3CB1"/>
    <w:rsid w:val="007E557D"/>
    <w:rsid w:val="00801920"/>
    <w:rsid w:val="008226B8"/>
    <w:rsid w:val="00826BC6"/>
    <w:rsid w:val="00871EB5"/>
    <w:rsid w:val="00876953"/>
    <w:rsid w:val="00883165"/>
    <w:rsid w:val="00885A87"/>
    <w:rsid w:val="008E26B7"/>
    <w:rsid w:val="00902E75"/>
    <w:rsid w:val="00906D06"/>
    <w:rsid w:val="009100C6"/>
    <w:rsid w:val="00920943"/>
    <w:rsid w:val="009239F9"/>
    <w:rsid w:val="00936DB2"/>
    <w:rsid w:val="00950AC6"/>
    <w:rsid w:val="00982753"/>
    <w:rsid w:val="009B333D"/>
    <w:rsid w:val="009D55A5"/>
    <w:rsid w:val="009D78C9"/>
    <w:rsid w:val="00A161E3"/>
    <w:rsid w:val="00A23E21"/>
    <w:rsid w:val="00A31065"/>
    <w:rsid w:val="00A41005"/>
    <w:rsid w:val="00A56332"/>
    <w:rsid w:val="00A56E1A"/>
    <w:rsid w:val="00A80231"/>
    <w:rsid w:val="00A86CDF"/>
    <w:rsid w:val="00AB1A99"/>
    <w:rsid w:val="00AC1602"/>
    <w:rsid w:val="00AC166C"/>
    <w:rsid w:val="00AD4A58"/>
    <w:rsid w:val="00AF4427"/>
    <w:rsid w:val="00B001E5"/>
    <w:rsid w:val="00B23C3D"/>
    <w:rsid w:val="00B350EC"/>
    <w:rsid w:val="00B559E4"/>
    <w:rsid w:val="00B63A12"/>
    <w:rsid w:val="00B86C46"/>
    <w:rsid w:val="00BC021F"/>
    <w:rsid w:val="00BF328F"/>
    <w:rsid w:val="00C04175"/>
    <w:rsid w:val="00C05348"/>
    <w:rsid w:val="00C07082"/>
    <w:rsid w:val="00C178F3"/>
    <w:rsid w:val="00C25049"/>
    <w:rsid w:val="00C25068"/>
    <w:rsid w:val="00C25E29"/>
    <w:rsid w:val="00C31900"/>
    <w:rsid w:val="00C335F7"/>
    <w:rsid w:val="00C53130"/>
    <w:rsid w:val="00C730F8"/>
    <w:rsid w:val="00C76F37"/>
    <w:rsid w:val="00C77984"/>
    <w:rsid w:val="00C9190D"/>
    <w:rsid w:val="00CA7E1B"/>
    <w:rsid w:val="00CB0B5E"/>
    <w:rsid w:val="00CB7833"/>
    <w:rsid w:val="00CC05E7"/>
    <w:rsid w:val="00CE68D6"/>
    <w:rsid w:val="00D32A11"/>
    <w:rsid w:val="00D450BD"/>
    <w:rsid w:val="00D46D58"/>
    <w:rsid w:val="00D762F4"/>
    <w:rsid w:val="00D772C1"/>
    <w:rsid w:val="00D96B13"/>
    <w:rsid w:val="00DA000E"/>
    <w:rsid w:val="00DB47A9"/>
    <w:rsid w:val="00DB7A46"/>
    <w:rsid w:val="00DC0B0F"/>
    <w:rsid w:val="00DC1402"/>
    <w:rsid w:val="00DC65C4"/>
    <w:rsid w:val="00DE5F08"/>
    <w:rsid w:val="00DF49D8"/>
    <w:rsid w:val="00E0729B"/>
    <w:rsid w:val="00E35973"/>
    <w:rsid w:val="00E50B21"/>
    <w:rsid w:val="00E5634C"/>
    <w:rsid w:val="00EB4AFD"/>
    <w:rsid w:val="00EB7D5D"/>
    <w:rsid w:val="00EE48C4"/>
    <w:rsid w:val="00EF1CBF"/>
    <w:rsid w:val="00F01882"/>
    <w:rsid w:val="00F023FE"/>
    <w:rsid w:val="00F222F1"/>
    <w:rsid w:val="00F3102F"/>
    <w:rsid w:val="00F33B88"/>
    <w:rsid w:val="00F348BF"/>
    <w:rsid w:val="00F36284"/>
    <w:rsid w:val="00F56F58"/>
    <w:rsid w:val="00F854FE"/>
    <w:rsid w:val="00F870E3"/>
    <w:rsid w:val="00F946EB"/>
    <w:rsid w:val="00FB1834"/>
    <w:rsid w:val="00FD698A"/>
    <w:rsid w:val="00FD7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34"/>
    <w:qFormat/>
    <w:rsid w:val="00FD698A"/>
    <w:pPr>
      <w:ind w:left="720"/>
      <w:contextualSpacing/>
    </w:pPr>
  </w:style>
  <w:style w:type="table" w:styleId="Tablaconcuadrcula">
    <w:name w:val="Table Grid"/>
    <w:basedOn w:val="Tablanormal"/>
    <w:uiPriority w:val="39"/>
    <w:unhideWhenUsed/>
    <w:rsid w:val="00B2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3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2313978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352F-839B-4666-ABD0-7D621FD0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Departamento de Datos Personales y Archivos</cp:lastModifiedBy>
  <cp:revision>2</cp:revision>
  <cp:lastPrinted>2021-12-02T22:34:00Z</cp:lastPrinted>
  <dcterms:created xsi:type="dcterms:W3CDTF">2021-12-02T22:43:00Z</dcterms:created>
  <dcterms:modified xsi:type="dcterms:W3CDTF">2021-12-02T22:43:00Z</dcterms:modified>
</cp:coreProperties>
</file>