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2D91" w14:textId="5A36B6A1" w:rsidR="00F3102F" w:rsidRPr="00192B92" w:rsidRDefault="00F3102F" w:rsidP="00192B92">
      <w:pPr>
        <w:spacing w:line="276" w:lineRule="auto"/>
        <w:jc w:val="both"/>
        <w:rPr>
          <w:rFonts w:ascii="Arial" w:eastAsia="Arial Unicode MS" w:hAnsi="Arial" w:cs="Arial"/>
          <w:b/>
          <w:bCs/>
        </w:rPr>
      </w:pPr>
      <w:r w:rsidRPr="00192B92">
        <w:rPr>
          <w:rFonts w:ascii="Arial" w:eastAsia="Arial Unicode MS" w:hAnsi="Arial" w:cs="Arial"/>
          <w:b/>
          <w:bCs/>
        </w:rPr>
        <w:t xml:space="preserve">ACUERDO NÚMERO </w:t>
      </w:r>
      <w:r w:rsidRPr="00192B92">
        <w:rPr>
          <w:rFonts w:ascii="Arial" w:eastAsia="Arial Unicode MS" w:hAnsi="Arial" w:cs="Arial"/>
          <w:b/>
        </w:rPr>
        <w:t>OGAIP</w:t>
      </w:r>
      <w:r w:rsidR="00697992" w:rsidRPr="00192B92">
        <w:rPr>
          <w:rFonts w:ascii="Arial" w:eastAsia="Arial Unicode MS" w:hAnsi="Arial" w:cs="Arial"/>
          <w:b/>
        </w:rPr>
        <w:t>O</w:t>
      </w:r>
      <w:r w:rsidRPr="00192B92">
        <w:rPr>
          <w:rFonts w:ascii="Arial" w:eastAsia="Arial Unicode MS" w:hAnsi="Arial" w:cs="Arial"/>
          <w:b/>
        </w:rPr>
        <w:t>/CG</w:t>
      </w:r>
      <w:r w:rsidRPr="002C1EAD">
        <w:rPr>
          <w:rFonts w:ascii="Arial" w:eastAsia="Arial Unicode MS" w:hAnsi="Arial" w:cs="Arial"/>
          <w:b/>
        </w:rPr>
        <w:t>/</w:t>
      </w:r>
      <w:r w:rsidR="002C1EAD">
        <w:rPr>
          <w:rFonts w:ascii="Arial" w:eastAsia="Arial Unicode MS" w:hAnsi="Arial" w:cs="Arial"/>
          <w:b/>
        </w:rPr>
        <w:t>0</w:t>
      </w:r>
      <w:r w:rsidR="00220898">
        <w:rPr>
          <w:rFonts w:ascii="Arial" w:eastAsia="Arial Unicode MS" w:hAnsi="Arial" w:cs="Arial"/>
          <w:b/>
        </w:rPr>
        <w:t>20</w:t>
      </w:r>
      <w:r w:rsidRPr="002C1EAD">
        <w:rPr>
          <w:rFonts w:ascii="Arial" w:eastAsia="Arial Unicode MS" w:hAnsi="Arial" w:cs="Arial"/>
          <w:b/>
        </w:rPr>
        <w:t>/2021</w:t>
      </w:r>
      <w:r w:rsidRPr="00192B92">
        <w:rPr>
          <w:rFonts w:ascii="Arial" w:eastAsia="Arial Unicode MS" w:hAnsi="Arial" w:cs="Arial"/>
          <w:b/>
        </w:rPr>
        <w:t xml:space="preserve"> </w:t>
      </w:r>
      <w:r w:rsidRPr="00192B92">
        <w:rPr>
          <w:rFonts w:ascii="Arial" w:eastAsia="Arial Unicode MS" w:hAnsi="Arial" w:cs="Arial"/>
          <w:b/>
          <w:bCs/>
        </w:rPr>
        <w:t xml:space="preserve">MEDIANTE EL CUAL EL </w:t>
      </w:r>
      <w:r w:rsidR="00B86C46" w:rsidRPr="00192B92">
        <w:rPr>
          <w:rFonts w:ascii="Arial" w:eastAsia="Arial Unicode MS" w:hAnsi="Arial" w:cs="Arial"/>
          <w:b/>
          <w:bCs/>
        </w:rPr>
        <w:t xml:space="preserve">CONSEJO GENERAL </w:t>
      </w:r>
      <w:r w:rsidR="007D0D9D" w:rsidRPr="00192B92">
        <w:rPr>
          <w:rFonts w:ascii="Arial" w:eastAsia="Arial Unicode MS" w:hAnsi="Arial" w:cs="Arial"/>
          <w:b/>
          <w:bCs/>
        </w:rPr>
        <w:t>DE</w:t>
      </w:r>
      <w:r w:rsidR="00B001E5" w:rsidRPr="00192B92">
        <w:rPr>
          <w:rFonts w:ascii="Arial" w:eastAsia="Arial Unicode MS" w:hAnsi="Arial" w:cs="Arial"/>
          <w:b/>
          <w:bCs/>
        </w:rPr>
        <w:t>L</w:t>
      </w:r>
      <w:r w:rsidR="00B86C46" w:rsidRPr="00192B92">
        <w:rPr>
          <w:rFonts w:ascii="Arial" w:eastAsia="Arial Unicode MS" w:hAnsi="Arial" w:cs="Arial"/>
          <w:b/>
          <w:bCs/>
        </w:rPr>
        <w:t xml:space="preserve"> </w:t>
      </w:r>
      <w:r w:rsidRPr="00192B92">
        <w:rPr>
          <w:rFonts w:ascii="Arial" w:eastAsia="Arial Unicode MS" w:hAnsi="Arial" w:cs="Arial"/>
          <w:b/>
          <w:bCs/>
        </w:rPr>
        <w:t>ÓRGANO GARANTE DE ACCESO A LA INFORMACIÓN PÚBLICA, TRANSPARENCIA, PROTECCIÓN DE DATOS PERSONALES Y BUEN GOBIERNO DEL ESTADO DE OAXACA,</w:t>
      </w:r>
      <w:r w:rsidR="00A161E3" w:rsidRPr="00192B92">
        <w:rPr>
          <w:rFonts w:ascii="Arial" w:eastAsia="Arial Unicode MS" w:hAnsi="Arial" w:cs="Arial"/>
          <w:b/>
          <w:bCs/>
        </w:rPr>
        <w:t xml:space="preserve"> </w:t>
      </w:r>
      <w:r w:rsidR="002C1EAD">
        <w:rPr>
          <w:rFonts w:ascii="Arial" w:eastAsia="Arial Unicode MS" w:hAnsi="Arial" w:cs="Arial"/>
          <w:b/>
          <w:bCs/>
        </w:rPr>
        <w:t>AUTORIZA</w:t>
      </w:r>
      <w:r w:rsidR="004370B3" w:rsidRPr="00192B92">
        <w:rPr>
          <w:rFonts w:ascii="Arial" w:eastAsia="Arial Unicode MS" w:hAnsi="Arial" w:cs="Arial"/>
          <w:b/>
          <w:bCs/>
        </w:rPr>
        <w:t xml:space="preserve"> AL COMISIONADO PRESIDENTE PARA FIRMAR CONVENIOS A NOMBRE DE ESTE ÓRGANO GARANTE.</w:t>
      </w:r>
    </w:p>
    <w:p w14:paraId="31ADC68E" w14:textId="77777777" w:rsidR="00F3102F" w:rsidRPr="00192B92" w:rsidRDefault="00F3102F" w:rsidP="00192B92">
      <w:pPr>
        <w:spacing w:line="276" w:lineRule="auto"/>
        <w:jc w:val="both"/>
        <w:rPr>
          <w:rFonts w:ascii="Arial" w:eastAsia="Arial Unicode MS" w:hAnsi="Arial" w:cs="Arial"/>
        </w:rPr>
      </w:pPr>
    </w:p>
    <w:p w14:paraId="440E15AD" w14:textId="77777777" w:rsidR="00DB3804" w:rsidRDefault="00DB3804" w:rsidP="00DB3804">
      <w:pPr>
        <w:spacing w:line="276" w:lineRule="auto"/>
        <w:jc w:val="both"/>
        <w:rPr>
          <w:rFonts w:ascii="Arial" w:eastAsia="Arial Unicode MS" w:hAnsi="Arial" w:cs="Arial"/>
        </w:rPr>
      </w:pPr>
      <w:r w:rsidRPr="00F348BF">
        <w:rPr>
          <w:rFonts w:ascii="Arial" w:eastAsia="Arial Unicode MS" w:hAnsi="Arial" w:cs="Arial"/>
        </w:rPr>
        <w:t>Con fundamento en lo dispuesto en los artículos 6°, Apartado A, fracción VIII de la Constitución Política de los Estados Unidos Mexicanos;</w:t>
      </w:r>
      <w:r>
        <w:rPr>
          <w:rFonts w:ascii="Arial" w:eastAsia="Arial Unicode MS" w:hAnsi="Arial" w:cs="Arial"/>
        </w:rPr>
        <w:t xml:space="preserve"> 114 inciso C de la Constitución Política del Estado Libre y Soberano de Oaxaca, 37 y 42 </w:t>
      </w:r>
      <w:r w:rsidRPr="00F348BF">
        <w:rPr>
          <w:rFonts w:ascii="Arial" w:eastAsia="Arial Unicode MS" w:hAnsi="Arial" w:cs="Arial"/>
        </w:rPr>
        <w:t>de la Ley General de Transparencia y Acceso a la Información Pública; artículo 93</w:t>
      </w:r>
      <w:r>
        <w:rPr>
          <w:rFonts w:ascii="Arial" w:eastAsia="Arial Unicode MS" w:hAnsi="Arial" w:cs="Arial"/>
        </w:rPr>
        <w:t xml:space="preserve"> fracción I inciso a)</w:t>
      </w:r>
      <w:r w:rsidRPr="00F348BF">
        <w:rPr>
          <w:rFonts w:ascii="Arial" w:eastAsia="Arial Unicode MS" w:hAnsi="Arial" w:cs="Arial"/>
        </w:rPr>
        <w:t xml:space="preserve"> de Ley de Transparencia, Acceso a la Información Pública y Buen Gobierno del Estado de Oaxaca; se emite el presente </w:t>
      </w:r>
      <w:r>
        <w:rPr>
          <w:rFonts w:ascii="Arial" w:eastAsia="Arial Unicode MS" w:hAnsi="Arial" w:cs="Arial"/>
        </w:rPr>
        <w:t>acuerdo</w:t>
      </w:r>
      <w:r w:rsidRPr="00F348BF">
        <w:rPr>
          <w:rFonts w:ascii="Arial" w:eastAsia="Arial Unicode MS" w:hAnsi="Arial" w:cs="Arial"/>
        </w:rPr>
        <w:t>, tomando en cuenta l</w:t>
      </w:r>
      <w:r>
        <w:rPr>
          <w:rFonts w:ascii="Arial" w:eastAsia="Arial Unicode MS" w:hAnsi="Arial" w:cs="Arial"/>
        </w:rPr>
        <w:t>o</w:t>
      </w:r>
      <w:r w:rsidRPr="00F348BF">
        <w:rPr>
          <w:rFonts w:ascii="Arial" w:eastAsia="Arial Unicode MS" w:hAnsi="Arial" w:cs="Arial"/>
        </w:rPr>
        <w:t>s siguientes:</w:t>
      </w:r>
    </w:p>
    <w:p w14:paraId="4B04CA11" w14:textId="77777777" w:rsidR="00583811" w:rsidRPr="00192B92" w:rsidRDefault="00583811" w:rsidP="00192B92">
      <w:pPr>
        <w:spacing w:line="276" w:lineRule="auto"/>
        <w:jc w:val="both"/>
        <w:rPr>
          <w:rFonts w:ascii="Arial" w:eastAsia="Arial Unicode MS" w:hAnsi="Arial" w:cs="Arial"/>
        </w:rPr>
      </w:pPr>
    </w:p>
    <w:p w14:paraId="7B081EF6" w14:textId="1625E0A8" w:rsidR="002C1EAD" w:rsidRPr="00192B92" w:rsidRDefault="00C31900" w:rsidP="002C1EAD">
      <w:pPr>
        <w:shd w:val="clear" w:color="auto" w:fill="FFFFFF"/>
        <w:spacing w:after="225" w:line="276" w:lineRule="auto"/>
        <w:jc w:val="center"/>
        <w:rPr>
          <w:rFonts w:ascii="Arial" w:eastAsia="Times New Roman" w:hAnsi="Arial" w:cs="Arial"/>
          <w:b/>
          <w:bCs/>
          <w:color w:val="000000"/>
          <w:lang w:eastAsia="es-MX"/>
        </w:rPr>
      </w:pPr>
      <w:r w:rsidRPr="00192B92">
        <w:rPr>
          <w:rFonts w:ascii="Arial" w:eastAsia="Times New Roman" w:hAnsi="Arial" w:cs="Arial"/>
          <w:b/>
          <w:bCs/>
          <w:color w:val="000000"/>
          <w:lang w:eastAsia="es-MX"/>
        </w:rPr>
        <w:t>ANTECEDENTES</w:t>
      </w:r>
      <w:r w:rsidR="00B559E4" w:rsidRPr="00192B92">
        <w:rPr>
          <w:rFonts w:ascii="Arial" w:eastAsia="Times New Roman" w:hAnsi="Arial" w:cs="Arial"/>
          <w:b/>
          <w:bCs/>
          <w:color w:val="000000"/>
          <w:lang w:eastAsia="es-MX"/>
        </w:rPr>
        <w:t>:</w:t>
      </w:r>
      <w:r w:rsidRPr="00192B92">
        <w:rPr>
          <w:rFonts w:ascii="Arial" w:eastAsia="Times New Roman" w:hAnsi="Arial" w:cs="Arial"/>
          <w:b/>
          <w:bCs/>
          <w:color w:val="000000"/>
          <w:lang w:eastAsia="es-MX"/>
        </w:rPr>
        <w:t xml:space="preserve"> </w:t>
      </w:r>
    </w:p>
    <w:p w14:paraId="774E6EDB" w14:textId="416AA882" w:rsidR="00C22AE2" w:rsidRPr="00192B92" w:rsidRDefault="00C22AE2" w:rsidP="00192B92">
      <w:pPr>
        <w:pStyle w:val="Prrafodelista"/>
        <w:spacing w:line="276" w:lineRule="auto"/>
        <w:ind w:left="0"/>
        <w:jc w:val="both"/>
        <w:rPr>
          <w:rFonts w:ascii="Arial" w:eastAsia="Arial Unicode MS" w:hAnsi="Arial" w:cs="Arial"/>
          <w:b/>
          <w:bCs/>
        </w:rPr>
      </w:pPr>
      <w:r w:rsidRPr="00192B92">
        <w:rPr>
          <w:rFonts w:ascii="Arial" w:eastAsia="Arial Unicode MS" w:hAnsi="Arial" w:cs="Arial"/>
          <w:b/>
          <w:bCs/>
        </w:rPr>
        <w:t xml:space="preserve">PRIMERO. </w:t>
      </w:r>
      <w:r w:rsidRPr="00192B92">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w:t>
      </w:r>
      <w:r w:rsidR="00463520">
        <w:rPr>
          <w:rFonts w:ascii="Arial" w:eastAsia="Arial Unicode MS" w:hAnsi="Arial" w:cs="Arial"/>
        </w:rPr>
        <w:t>e</w:t>
      </w:r>
      <w:r w:rsidRPr="00192B92">
        <w:rPr>
          <w:rFonts w:ascii="Arial" w:eastAsia="Arial Unicode MS" w:hAnsi="Arial" w:cs="Arial"/>
        </w:rPr>
        <w:t>stado, responsable de salvaguardar el ejercicio de los derechos de acceso a la información pública, a la protección de datos personales y garantizar la  observancia de las normas y principios de buen gobierno.</w:t>
      </w:r>
    </w:p>
    <w:p w14:paraId="16FFC2F8" w14:textId="77777777" w:rsidR="00C22AE2" w:rsidRPr="00192B92" w:rsidRDefault="00C22AE2" w:rsidP="00192B92">
      <w:pPr>
        <w:pStyle w:val="Prrafodelista"/>
        <w:spacing w:line="276" w:lineRule="auto"/>
        <w:jc w:val="both"/>
        <w:rPr>
          <w:rFonts w:ascii="Arial" w:eastAsia="Arial Unicode MS" w:hAnsi="Arial" w:cs="Arial"/>
          <w:b/>
          <w:bCs/>
        </w:rPr>
      </w:pPr>
    </w:p>
    <w:p w14:paraId="0C0AC21A" w14:textId="033449C1" w:rsidR="00F57ADC" w:rsidRPr="00192B92" w:rsidRDefault="00C22AE2" w:rsidP="00192B92">
      <w:pPr>
        <w:spacing w:line="276" w:lineRule="auto"/>
        <w:jc w:val="both"/>
        <w:rPr>
          <w:rFonts w:ascii="Arial" w:eastAsia="Arial Unicode MS" w:hAnsi="Arial" w:cs="Arial"/>
          <w:b/>
        </w:rPr>
      </w:pPr>
      <w:r w:rsidRPr="00192B92">
        <w:rPr>
          <w:rFonts w:ascii="Arial" w:eastAsia="Arial Unicode MS" w:hAnsi="Arial" w:cs="Arial"/>
          <w:b/>
          <w:bCs/>
        </w:rPr>
        <w:t xml:space="preserve">SEGUNDO. </w:t>
      </w:r>
      <w:r w:rsidRPr="00192B92">
        <w:rPr>
          <w:rFonts w:ascii="Arial" w:eastAsia="Arial Unicode MS" w:hAnsi="Arial" w:cs="Arial"/>
        </w:rPr>
        <w:t xml:space="preserve">Que el día 04 de septiembre del año 2021, se publicó en el Periódico Oficial del Estado de Oaxaca el decreto 2582; por medio del cual </w:t>
      </w:r>
      <w:r w:rsidR="00C04AEA" w:rsidRPr="00192B92">
        <w:rPr>
          <w:rFonts w:ascii="Arial" w:eastAsia="Arial Unicode MS" w:hAnsi="Arial" w:cs="Arial"/>
        </w:rPr>
        <w:t>se expide la</w:t>
      </w:r>
      <w:r w:rsidRPr="00192B92">
        <w:rPr>
          <w:rFonts w:ascii="Arial" w:eastAsia="Arial Unicode MS" w:hAnsi="Arial" w:cs="Arial"/>
        </w:rPr>
        <w:t xml:space="preserve"> Ley de Transparencia, Acceso a la Información Pública y Buen Gobierno del Estado de Oaxaca</w:t>
      </w:r>
      <w:r w:rsidR="00A74DD8" w:rsidRPr="00192B92">
        <w:rPr>
          <w:rFonts w:ascii="Arial" w:eastAsia="Arial Unicode MS" w:hAnsi="Arial" w:cs="Arial"/>
        </w:rPr>
        <w:t>.</w:t>
      </w:r>
    </w:p>
    <w:p w14:paraId="5D2D6E7A" w14:textId="77777777" w:rsidR="00D5613D" w:rsidRPr="00192B92" w:rsidRDefault="00D5613D" w:rsidP="00192B92">
      <w:pPr>
        <w:spacing w:line="276" w:lineRule="auto"/>
        <w:jc w:val="both"/>
        <w:rPr>
          <w:rFonts w:ascii="Arial" w:eastAsia="Arial Unicode MS" w:hAnsi="Arial" w:cs="Arial"/>
          <w:highlight w:val="yellow"/>
        </w:rPr>
      </w:pPr>
    </w:p>
    <w:p w14:paraId="0227D77A" w14:textId="35F87DED" w:rsidR="00C22AE2" w:rsidRPr="00192B92" w:rsidRDefault="00605621" w:rsidP="00192B92">
      <w:pPr>
        <w:spacing w:line="276" w:lineRule="auto"/>
        <w:jc w:val="both"/>
        <w:rPr>
          <w:rFonts w:ascii="Arial" w:eastAsia="Arial Unicode MS" w:hAnsi="Arial" w:cs="Arial"/>
          <w:b/>
          <w:bCs/>
        </w:rPr>
      </w:pPr>
      <w:r w:rsidRPr="00192B92">
        <w:rPr>
          <w:rFonts w:ascii="Arial" w:eastAsia="Arial Unicode MS" w:hAnsi="Arial" w:cs="Arial"/>
          <w:b/>
          <w:bCs/>
        </w:rPr>
        <w:t>TERCERO</w:t>
      </w:r>
      <w:r w:rsidR="00C22AE2" w:rsidRPr="00192B92">
        <w:rPr>
          <w:rFonts w:ascii="Arial" w:eastAsia="Arial Unicode MS" w:hAnsi="Arial" w:cs="Arial"/>
          <w:b/>
          <w:bCs/>
        </w:rPr>
        <w:t xml:space="preserve">. </w:t>
      </w:r>
      <w:r w:rsidR="00C22AE2" w:rsidRPr="00192B92">
        <w:rPr>
          <w:rFonts w:ascii="Arial" w:eastAsia="Arial Unicode MS" w:hAnsi="Arial" w:cs="Arial"/>
        </w:rPr>
        <w:t xml:space="preserve">Que el día 22 de octubre del año 2021, en sesión correspondiente al tercer Periodo Extraordinario de Sesiones del tercer año del Ejercicio Constitucional de la Sexagésima Cuarta Legislatura del Honorable Congreso del Estado de Oaxaca, las </w:t>
      </w:r>
      <w:r w:rsidR="003F6062" w:rsidRPr="00192B92">
        <w:rPr>
          <w:rFonts w:ascii="Arial" w:eastAsia="Arial Unicode MS" w:hAnsi="Arial" w:cs="Arial"/>
        </w:rPr>
        <w:t xml:space="preserve">diputadas </w:t>
      </w:r>
      <w:r w:rsidR="00C22AE2" w:rsidRPr="00192B92">
        <w:rPr>
          <w:rFonts w:ascii="Arial" w:eastAsia="Arial Unicode MS" w:hAnsi="Arial" w:cs="Arial"/>
        </w:rPr>
        <w:t xml:space="preserve">y </w:t>
      </w:r>
      <w:r w:rsidR="00463520" w:rsidRPr="00192B92">
        <w:rPr>
          <w:rFonts w:ascii="Arial" w:eastAsia="Arial Unicode MS" w:hAnsi="Arial" w:cs="Arial"/>
        </w:rPr>
        <w:t>los diputados</w:t>
      </w:r>
      <w:r w:rsidR="00C22AE2" w:rsidRPr="00192B92">
        <w:rPr>
          <w:rFonts w:ascii="Arial" w:eastAsia="Arial Unicode MS" w:hAnsi="Arial" w:cs="Arial"/>
        </w:rPr>
        <w:t xml:space="preserve"> de la Legislatura mencionada</w:t>
      </w:r>
      <w:r w:rsidR="003F6062">
        <w:rPr>
          <w:rFonts w:ascii="Arial" w:eastAsia="Arial Unicode MS" w:hAnsi="Arial" w:cs="Arial"/>
        </w:rPr>
        <w:t>,</w:t>
      </w:r>
      <w:r w:rsidR="00C22AE2" w:rsidRPr="00192B92">
        <w:rPr>
          <w:rFonts w:ascii="Arial" w:eastAsia="Arial Unicode MS" w:hAnsi="Arial" w:cs="Arial"/>
        </w:rPr>
        <w:t xml:space="preserve"> tuvieron a bien </w:t>
      </w:r>
      <w:r w:rsidR="0048469A" w:rsidRPr="00192B92">
        <w:rPr>
          <w:rFonts w:ascii="Arial" w:eastAsia="Arial Unicode MS" w:hAnsi="Arial" w:cs="Arial"/>
        </w:rPr>
        <w:t>elegir</w:t>
      </w:r>
      <w:r w:rsidR="00C22AE2" w:rsidRPr="00192B92">
        <w:rPr>
          <w:rFonts w:ascii="Arial" w:eastAsia="Arial Unicode MS" w:hAnsi="Arial" w:cs="Arial"/>
        </w:rPr>
        <w:t xml:space="preserve"> a las Comisionadas y los Comisionados del Órgano Garante de Acceso a la Información Pública, Transparencia, Protección de Datos Personales y Buen Gobierno del Estado de Oaxaca</w:t>
      </w:r>
      <w:r w:rsidR="00C22AE2" w:rsidRPr="00192B92">
        <w:rPr>
          <w:rFonts w:ascii="Arial" w:eastAsia="Arial Unicode MS" w:hAnsi="Arial" w:cs="Arial"/>
          <w:b/>
          <w:bCs/>
        </w:rPr>
        <w:t>.</w:t>
      </w:r>
    </w:p>
    <w:p w14:paraId="4D82123A" w14:textId="77777777" w:rsidR="00C22AE2" w:rsidRPr="00192B92" w:rsidRDefault="00C22AE2" w:rsidP="00192B92">
      <w:pPr>
        <w:pStyle w:val="Prrafodelista"/>
        <w:spacing w:line="276" w:lineRule="auto"/>
        <w:jc w:val="both"/>
        <w:rPr>
          <w:rFonts w:ascii="Arial" w:eastAsia="Arial Unicode MS" w:hAnsi="Arial" w:cs="Arial"/>
          <w:b/>
          <w:bCs/>
        </w:rPr>
      </w:pPr>
    </w:p>
    <w:p w14:paraId="03DD4431" w14:textId="2884A9F1" w:rsidR="00B1230B" w:rsidRPr="00192B92" w:rsidRDefault="00605621" w:rsidP="00192B92">
      <w:pPr>
        <w:pStyle w:val="Prrafodelista"/>
        <w:spacing w:line="276" w:lineRule="auto"/>
        <w:ind w:left="0"/>
        <w:jc w:val="both"/>
        <w:rPr>
          <w:rFonts w:ascii="Arial" w:hAnsi="Arial" w:cs="Arial"/>
        </w:rPr>
      </w:pPr>
      <w:r w:rsidRPr="00192B92">
        <w:rPr>
          <w:rFonts w:ascii="Arial" w:eastAsia="Arial Unicode MS" w:hAnsi="Arial" w:cs="Arial"/>
          <w:b/>
          <w:bCs/>
        </w:rPr>
        <w:t>CUARTO</w:t>
      </w:r>
      <w:r w:rsidR="00C22AE2" w:rsidRPr="00192B92">
        <w:rPr>
          <w:rFonts w:ascii="Arial" w:eastAsia="Arial Unicode MS" w:hAnsi="Arial" w:cs="Arial"/>
          <w:b/>
          <w:bCs/>
        </w:rPr>
        <w:t xml:space="preserve">. </w:t>
      </w:r>
      <w:r w:rsidR="00C22AE2" w:rsidRPr="00192B92">
        <w:rPr>
          <w:rFonts w:ascii="Arial" w:eastAsia="Arial Unicode MS" w:hAnsi="Arial" w:cs="Arial"/>
        </w:rPr>
        <w:t xml:space="preserve">Que el día 27 de octubre del año 2021, </w:t>
      </w:r>
      <w:r w:rsidR="003F6062">
        <w:rPr>
          <w:rFonts w:ascii="Arial" w:eastAsia="Arial Unicode MS" w:hAnsi="Arial" w:cs="Arial"/>
        </w:rPr>
        <w:t>en</w:t>
      </w:r>
      <w:r w:rsidR="00C22AE2" w:rsidRPr="00192B92">
        <w:rPr>
          <w:rFonts w:ascii="Arial" w:eastAsia="Arial Unicode MS" w:hAnsi="Arial" w:cs="Arial"/>
        </w:rPr>
        <w:t xml:space="preserve"> Sesión Solemne el Órgano Garante de Acceso a la Información Pública, Transparencia, Protección de Datos Personales y Buen Gobierno del Estado de Oaxaca, inició sus funciones legales, en dicho acto protocolario las </w:t>
      </w:r>
      <w:r w:rsidR="00F020A5">
        <w:rPr>
          <w:rFonts w:ascii="Arial" w:eastAsia="Arial Unicode MS" w:hAnsi="Arial" w:cs="Arial"/>
        </w:rPr>
        <w:t>C</w:t>
      </w:r>
      <w:r w:rsidR="00C22AE2" w:rsidRPr="00192B92">
        <w:rPr>
          <w:rFonts w:ascii="Arial" w:eastAsia="Arial Unicode MS" w:hAnsi="Arial" w:cs="Arial"/>
        </w:rPr>
        <w:t xml:space="preserve">omisionadas y los </w:t>
      </w:r>
      <w:r w:rsidR="00F020A5">
        <w:rPr>
          <w:rFonts w:ascii="Arial" w:eastAsia="Arial Unicode MS" w:hAnsi="Arial" w:cs="Arial"/>
        </w:rPr>
        <w:t>C</w:t>
      </w:r>
      <w:r w:rsidR="00C22AE2" w:rsidRPr="00192B92">
        <w:rPr>
          <w:rFonts w:ascii="Arial" w:eastAsia="Arial Unicode MS" w:hAnsi="Arial" w:cs="Arial"/>
        </w:rPr>
        <w:t>omisionados nombraron al C</w:t>
      </w:r>
      <w:r w:rsidR="00C22AE2" w:rsidRPr="00192B92">
        <w:rPr>
          <w:rFonts w:ascii="Arial" w:eastAsia="MS Mincho" w:hAnsi="Arial" w:cs="Arial"/>
          <w:lang w:val="es-ES" w:eastAsia="es-ES"/>
        </w:rPr>
        <w:t xml:space="preserve">. José Luis </w:t>
      </w:r>
      <w:r w:rsidR="00A74DD8" w:rsidRPr="00192B92">
        <w:rPr>
          <w:rFonts w:ascii="Arial" w:eastAsia="MS Mincho" w:hAnsi="Arial" w:cs="Arial"/>
          <w:lang w:val="es-ES" w:eastAsia="es-ES"/>
        </w:rPr>
        <w:t>Echeverría</w:t>
      </w:r>
      <w:r w:rsidR="00C22AE2" w:rsidRPr="00192B92">
        <w:rPr>
          <w:rFonts w:ascii="Arial" w:eastAsia="MS Mincho" w:hAnsi="Arial" w:cs="Arial"/>
          <w:lang w:val="es-ES" w:eastAsia="es-ES"/>
        </w:rPr>
        <w:t xml:space="preserve"> Morales como Comisionado </w:t>
      </w:r>
      <w:proofErr w:type="gramStart"/>
      <w:r w:rsidR="00C22AE2" w:rsidRPr="00192B92">
        <w:rPr>
          <w:rFonts w:ascii="Arial" w:eastAsia="MS Mincho" w:hAnsi="Arial" w:cs="Arial"/>
          <w:lang w:val="es-ES" w:eastAsia="es-ES"/>
        </w:rPr>
        <w:t>Presidente</w:t>
      </w:r>
      <w:proofErr w:type="gramEnd"/>
      <w:r w:rsidR="00C22AE2" w:rsidRPr="00192B92">
        <w:rPr>
          <w:rFonts w:ascii="Arial" w:eastAsia="MS Mincho" w:hAnsi="Arial" w:cs="Arial"/>
          <w:lang w:val="es-ES" w:eastAsia="es-ES"/>
        </w:rPr>
        <w:t xml:space="preserve"> de este Órgano Garante</w:t>
      </w:r>
      <w:r w:rsidR="00C22AE2" w:rsidRPr="00192B92">
        <w:rPr>
          <w:rFonts w:ascii="Arial" w:hAnsi="Arial" w:cs="Arial"/>
        </w:rPr>
        <w:t>; por lo anterior, se emiten los siguientes</w:t>
      </w:r>
      <w:r w:rsidR="000A1FF1" w:rsidRPr="00192B92">
        <w:rPr>
          <w:rFonts w:ascii="Arial" w:hAnsi="Arial" w:cs="Arial"/>
        </w:rPr>
        <w:t>;</w:t>
      </w:r>
    </w:p>
    <w:p w14:paraId="58CDB53D" w14:textId="77777777" w:rsidR="002C1EAD" w:rsidRDefault="002C1EAD" w:rsidP="00192B92">
      <w:pPr>
        <w:shd w:val="clear" w:color="auto" w:fill="FFFFFF"/>
        <w:spacing w:after="225" w:line="276" w:lineRule="auto"/>
        <w:jc w:val="center"/>
        <w:rPr>
          <w:rFonts w:ascii="Arial" w:eastAsia="Times New Roman" w:hAnsi="Arial" w:cs="Arial"/>
          <w:b/>
          <w:bCs/>
          <w:color w:val="000000"/>
          <w:lang w:eastAsia="es-MX"/>
        </w:rPr>
      </w:pPr>
    </w:p>
    <w:p w14:paraId="5A664EAD" w14:textId="46284A8C" w:rsidR="002C1EAD" w:rsidRPr="00192B92" w:rsidRDefault="00C31900" w:rsidP="002C1EAD">
      <w:pPr>
        <w:shd w:val="clear" w:color="auto" w:fill="FFFFFF"/>
        <w:spacing w:after="225" w:line="276" w:lineRule="auto"/>
        <w:jc w:val="center"/>
        <w:rPr>
          <w:rFonts w:ascii="Arial" w:eastAsia="Times New Roman" w:hAnsi="Arial" w:cs="Arial"/>
          <w:b/>
          <w:bCs/>
          <w:color w:val="000000"/>
          <w:lang w:eastAsia="es-MX"/>
        </w:rPr>
      </w:pPr>
      <w:r w:rsidRPr="00192B92">
        <w:rPr>
          <w:rFonts w:ascii="Arial" w:eastAsia="Times New Roman" w:hAnsi="Arial" w:cs="Arial"/>
          <w:b/>
          <w:bCs/>
          <w:color w:val="000000"/>
          <w:lang w:eastAsia="es-MX"/>
        </w:rPr>
        <w:t>C</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O</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N</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S</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I</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D</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E</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R</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A</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N</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D</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O</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S</w:t>
      </w:r>
      <w:r w:rsidR="000C3987" w:rsidRPr="00192B92">
        <w:rPr>
          <w:rFonts w:ascii="Arial" w:eastAsia="Times New Roman" w:hAnsi="Arial" w:cs="Arial"/>
          <w:b/>
          <w:bCs/>
          <w:color w:val="000000"/>
          <w:lang w:eastAsia="es-MX"/>
        </w:rPr>
        <w:t>:</w:t>
      </w:r>
    </w:p>
    <w:p w14:paraId="185D2856" w14:textId="137E4DBE" w:rsidR="00E90945" w:rsidRPr="00192B92" w:rsidRDefault="00C31900" w:rsidP="00192B92">
      <w:pPr>
        <w:spacing w:line="276" w:lineRule="auto"/>
        <w:jc w:val="both"/>
        <w:rPr>
          <w:rFonts w:ascii="Arial" w:eastAsia="Times New Roman" w:hAnsi="Arial" w:cs="Arial"/>
          <w:color w:val="000000"/>
          <w:lang w:eastAsia="es-MX"/>
        </w:rPr>
      </w:pPr>
      <w:r w:rsidRPr="00192B92">
        <w:rPr>
          <w:rFonts w:ascii="Arial" w:eastAsia="Times New Roman" w:hAnsi="Arial" w:cs="Arial"/>
          <w:b/>
          <w:bCs/>
          <w:color w:val="000000"/>
          <w:lang w:eastAsia="es-MX"/>
        </w:rPr>
        <w:lastRenderedPageBreak/>
        <w:t>PRIMERO</w:t>
      </w:r>
      <w:r w:rsidR="00837941" w:rsidRPr="00192B92">
        <w:rPr>
          <w:rFonts w:ascii="Arial" w:eastAsia="Arial Unicode MS" w:hAnsi="Arial" w:cs="Arial"/>
          <w:b/>
          <w:bCs/>
        </w:rPr>
        <w:t>.</w:t>
      </w:r>
      <w:r w:rsidR="00837941" w:rsidRPr="00192B92">
        <w:rPr>
          <w:rFonts w:ascii="Arial" w:eastAsia="Arial Unicode MS" w:hAnsi="Arial" w:cs="Arial"/>
        </w:rPr>
        <w:t xml:space="preserve"> </w:t>
      </w:r>
      <w:r w:rsidR="00E90945" w:rsidRPr="00192B92">
        <w:rPr>
          <w:rFonts w:ascii="Arial" w:eastAsia="Times New Roman" w:hAnsi="Arial" w:cs="Arial"/>
          <w:color w:val="000000"/>
          <w:lang w:eastAsia="es-MX"/>
        </w:rPr>
        <w:t>Que los artículos 8</w:t>
      </w:r>
      <w:r w:rsidR="004370B3" w:rsidRPr="00192B92">
        <w:rPr>
          <w:rFonts w:ascii="Arial" w:eastAsia="Times New Roman" w:hAnsi="Arial" w:cs="Arial"/>
          <w:color w:val="000000"/>
          <w:lang w:eastAsia="es-MX"/>
        </w:rPr>
        <w:t>9</w:t>
      </w:r>
      <w:r w:rsidR="00E90945" w:rsidRPr="00192B92">
        <w:rPr>
          <w:rFonts w:ascii="Arial" w:eastAsia="Times New Roman" w:hAnsi="Arial" w:cs="Arial"/>
          <w:color w:val="000000"/>
          <w:lang w:eastAsia="es-MX"/>
        </w:rPr>
        <w:t xml:space="preserve"> y 94 de la Ley de Transparencia, Acceso a la Información Pública y Buen Gobierno del Estado de </w:t>
      </w:r>
      <w:r w:rsidR="00D335E4" w:rsidRPr="00192B92">
        <w:rPr>
          <w:rFonts w:ascii="Arial" w:eastAsia="Times New Roman" w:hAnsi="Arial" w:cs="Arial"/>
          <w:color w:val="000000"/>
          <w:lang w:eastAsia="es-MX"/>
        </w:rPr>
        <w:t>Oaxaca, establece las</w:t>
      </w:r>
      <w:r w:rsidR="00E90945" w:rsidRPr="00192B92">
        <w:rPr>
          <w:rFonts w:ascii="Arial" w:eastAsia="Times New Roman" w:hAnsi="Arial" w:cs="Arial"/>
          <w:color w:val="000000"/>
          <w:lang w:eastAsia="es-MX"/>
        </w:rPr>
        <w:t xml:space="preserve"> funciones del Consejo General </w:t>
      </w:r>
      <w:r w:rsidR="003548A0" w:rsidRPr="00192B92">
        <w:rPr>
          <w:rFonts w:ascii="Arial" w:eastAsia="Times New Roman" w:hAnsi="Arial" w:cs="Arial"/>
          <w:color w:val="000000"/>
          <w:lang w:eastAsia="es-MX"/>
        </w:rPr>
        <w:t>y la Presidencia del Consejo Genera</w:t>
      </w:r>
      <w:r w:rsidR="003F6062">
        <w:rPr>
          <w:rFonts w:ascii="Arial" w:eastAsia="Times New Roman" w:hAnsi="Arial" w:cs="Arial"/>
          <w:color w:val="000000"/>
          <w:lang w:eastAsia="es-MX"/>
        </w:rPr>
        <w:t>l</w:t>
      </w:r>
      <w:r w:rsidR="003548A0" w:rsidRPr="00192B92">
        <w:rPr>
          <w:rFonts w:ascii="Arial" w:eastAsia="Times New Roman" w:hAnsi="Arial" w:cs="Arial"/>
          <w:color w:val="000000"/>
          <w:lang w:eastAsia="es-MX"/>
        </w:rPr>
        <w:t>, mismos que se describen en lo que interesa para mayor entendimiento</w:t>
      </w:r>
      <w:r w:rsidR="00E90945" w:rsidRPr="00192B92">
        <w:rPr>
          <w:rFonts w:ascii="Arial" w:eastAsia="Times New Roman" w:hAnsi="Arial" w:cs="Arial"/>
          <w:color w:val="000000"/>
          <w:lang w:eastAsia="es-MX"/>
        </w:rPr>
        <w:t>:</w:t>
      </w:r>
    </w:p>
    <w:p w14:paraId="031BBFB6" w14:textId="77777777" w:rsidR="00E90945" w:rsidRPr="00192B92" w:rsidRDefault="00E90945" w:rsidP="00192B92">
      <w:pPr>
        <w:spacing w:line="276" w:lineRule="auto"/>
        <w:jc w:val="both"/>
        <w:rPr>
          <w:rFonts w:ascii="Arial" w:eastAsia="Times New Roman" w:hAnsi="Arial" w:cs="Arial"/>
          <w:color w:val="000000"/>
          <w:lang w:eastAsia="es-MX"/>
        </w:rPr>
      </w:pPr>
    </w:p>
    <w:p w14:paraId="465A179E" w14:textId="493EDD6B" w:rsidR="0075743C" w:rsidRPr="003F6062" w:rsidRDefault="003548A0" w:rsidP="00192B92">
      <w:pPr>
        <w:spacing w:line="276" w:lineRule="auto"/>
        <w:ind w:left="1276" w:right="1752"/>
        <w:jc w:val="both"/>
        <w:rPr>
          <w:rFonts w:ascii="Arial" w:eastAsia="Arial Unicode MS" w:hAnsi="Arial" w:cs="Arial"/>
          <w:i/>
          <w:iCs/>
          <w:sz w:val="20"/>
          <w:szCs w:val="20"/>
        </w:rPr>
      </w:pPr>
      <w:r w:rsidRPr="003F6062">
        <w:rPr>
          <w:rFonts w:ascii="Arial" w:hAnsi="Arial" w:cs="Arial"/>
          <w:i/>
          <w:iCs/>
          <w:sz w:val="20"/>
          <w:szCs w:val="20"/>
        </w:rPr>
        <w:t>“…</w:t>
      </w:r>
      <w:r w:rsidR="00E90945" w:rsidRPr="003F6062">
        <w:rPr>
          <w:rFonts w:ascii="Arial" w:hAnsi="Arial" w:cs="Arial"/>
          <w:b/>
          <w:bCs/>
          <w:i/>
          <w:iCs/>
          <w:sz w:val="20"/>
          <w:szCs w:val="20"/>
        </w:rPr>
        <w:t>Artículo 89.</w:t>
      </w:r>
      <w:r w:rsidR="00E90945" w:rsidRPr="003F6062">
        <w:rPr>
          <w:rFonts w:ascii="Arial" w:hAnsi="Arial" w:cs="Arial"/>
          <w:i/>
          <w:iCs/>
          <w:sz w:val="20"/>
          <w:szCs w:val="20"/>
        </w:rPr>
        <w:t xml:space="preserve"> El Consejo General del Órgano Garante estará integrado por cinco Comisionadas y Comisionados que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establecidos en esta Ley</w:t>
      </w:r>
      <w:r w:rsidRPr="003F6062">
        <w:rPr>
          <w:rFonts w:ascii="Arial" w:hAnsi="Arial" w:cs="Arial"/>
          <w:i/>
          <w:iCs/>
          <w:sz w:val="20"/>
          <w:szCs w:val="20"/>
        </w:rPr>
        <w:t>...” (sic).</w:t>
      </w:r>
    </w:p>
    <w:p w14:paraId="54347E2A" w14:textId="77777777" w:rsidR="0075743C" w:rsidRPr="00192B92" w:rsidRDefault="0075743C" w:rsidP="00192B92">
      <w:pPr>
        <w:spacing w:line="276" w:lineRule="auto"/>
        <w:jc w:val="both"/>
        <w:rPr>
          <w:rFonts w:ascii="Arial" w:hAnsi="Arial" w:cs="Arial"/>
        </w:rPr>
      </w:pPr>
    </w:p>
    <w:p w14:paraId="7CD8FE6D" w14:textId="1CDC9DEA" w:rsidR="0075743C" w:rsidRPr="00192B92" w:rsidRDefault="0075743C" w:rsidP="00192B92">
      <w:pPr>
        <w:spacing w:line="276" w:lineRule="auto"/>
        <w:ind w:left="1276" w:right="1752"/>
        <w:jc w:val="both"/>
        <w:rPr>
          <w:rFonts w:ascii="Arial" w:hAnsi="Arial" w:cs="Arial"/>
          <w:i/>
          <w:iCs/>
          <w:sz w:val="20"/>
          <w:szCs w:val="20"/>
        </w:rPr>
      </w:pPr>
      <w:r w:rsidRPr="00192B92">
        <w:rPr>
          <w:rFonts w:ascii="Arial" w:hAnsi="Arial" w:cs="Arial"/>
          <w:i/>
          <w:iCs/>
          <w:sz w:val="20"/>
          <w:szCs w:val="20"/>
        </w:rPr>
        <w:t>“…</w:t>
      </w:r>
      <w:r w:rsidRPr="00192B92">
        <w:rPr>
          <w:rFonts w:ascii="Arial" w:hAnsi="Arial" w:cs="Arial"/>
          <w:b/>
          <w:bCs/>
          <w:i/>
          <w:iCs/>
          <w:sz w:val="20"/>
          <w:szCs w:val="20"/>
        </w:rPr>
        <w:t>Artículo 94.</w:t>
      </w:r>
      <w:r w:rsidRPr="00192B92">
        <w:rPr>
          <w:rFonts w:ascii="Arial" w:hAnsi="Arial" w:cs="Arial"/>
          <w:i/>
          <w:iCs/>
          <w:sz w:val="20"/>
          <w:szCs w:val="20"/>
        </w:rPr>
        <w:t xml:space="preserve"> 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(sic).</w:t>
      </w:r>
    </w:p>
    <w:p w14:paraId="14A5C578" w14:textId="77777777" w:rsidR="00953B64" w:rsidRPr="00192B92" w:rsidRDefault="00953B64" w:rsidP="00192B92">
      <w:pPr>
        <w:spacing w:line="276" w:lineRule="auto"/>
        <w:jc w:val="both"/>
        <w:rPr>
          <w:rFonts w:ascii="Arial" w:eastAsia="Arial Unicode MS" w:hAnsi="Arial" w:cs="Arial"/>
          <w:i/>
          <w:iCs/>
          <w:sz w:val="20"/>
          <w:szCs w:val="20"/>
        </w:rPr>
      </w:pPr>
    </w:p>
    <w:p w14:paraId="0FC98F79" w14:textId="6F791E74" w:rsidR="00605621" w:rsidRPr="00192B92" w:rsidRDefault="00837941" w:rsidP="00192B92">
      <w:pPr>
        <w:spacing w:line="276" w:lineRule="auto"/>
        <w:jc w:val="both"/>
        <w:rPr>
          <w:rFonts w:ascii="Arial" w:hAnsi="Arial" w:cs="Arial"/>
        </w:rPr>
      </w:pPr>
      <w:r w:rsidRPr="00192B92">
        <w:rPr>
          <w:rFonts w:ascii="Arial" w:eastAsia="Arial Unicode MS" w:hAnsi="Arial" w:cs="Arial"/>
          <w:b/>
        </w:rPr>
        <w:t>TERCER</w:t>
      </w:r>
      <w:r w:rsidR="00605621" w:rsidRPr="00192B92">
        <w:rPr>
          <w:rFonts w:ascii="Arial" w:eastAsia="Arial Unicode MS" w:hAnsi="Arial" w:cs="Arial"/>
          <w:b/>
        </w:rPr>
        <w:t>O.</w:t>
      </w:r>
      <w:r w:rsidR="00605621" w:rsidRPr="00192B92">
        <w:rPr>
          <w:rFonts w:ascii="Arial" w:eastAsia="Arial Unicode MS" w:hAnsi="Arial" w:cs="Arial"/>
        </w:rPr>
        <w:t xml:space="preserve"> Que el artículo </w:t>
      </w:r>
      <w:r w:rsidR="00FE1030" w:rsidRPr="00192B92">
        <w:rPr>
          <w:rFonts w:ascii="Arial" w:eastAsia="Arial Unicode MS" w:hAnsi="Arial" w:cs="Arial"/>
        </w:rPr>
        <w:t>96</w:t>
      </w:r>
      <w:r w:rsidR="00605621" w:rsidRPr="00192B92">
        <w:rPr>
          <w:rFonts w:ascii="Arial" w:eastAsia="Arial Unicode MS" w:hAnsi="Arial" w:cs="Arial"/>
        </w:rPr>
        <w:t xml:space="preserve"> </w:t>
      </w:r>
      <w:r w:rsidR="001C3592" w:rsidRPr="00192B92">
        <w:rPr>
          <w:rFonts w:ascii="Arial" w:eastAsia="Arial Unicode MS" w:hAnsi="Arial" w:cs="Arial"/>
        </w:rPr>
        <w:t xml:space="preserve">fracción II, </w:t>
      </w:r>
      <w:r w:rsidR="00605621" w:rsidRPr="00192B92">
        <w:rPr>
          <w:rFonts w:ascii="Arial" w:eastAsia="Arial Unicode MS" w:hAnsi="Arial" w:cs="Arial"/>
        </w:rPr>
        <w:t xml:space="preserve">de la </w:t>
      </w:r>
      <w:r w:rsidR="00605621" w:rsidRPr="00192B92">
        <w:rPr>
          <w:rFonts w:ascii="Arial" w:eastAsia="Times New Roman" w:hAnsi="Arial" w:cs="Arial"/>
          <w:color w:val="000000"/>
          <w:lang w:eastAsia="es-MX"/>
        </w:rPr>
        <w:t xml:space="preserve">Ley de Transparencia, Acceso a la Información Pública y Buen Gobierno del Estado de Oaxaca, </w:t>
      </w:r>
      <w:r w:rsidR="00605621" w:rsidRPr="00192B92">
        <w:rPr>
          <w:rFonts w:ascii="Arial" w:eastAsia="Arial Unicode MS" w:hAnsi="Arial" w:cs="Arial"/>
        </w:rPr>
        <w:t xml:space="preserve">establece que </w:t>
      </w:r>
      <w:r w:rsidR="00FE1030" w:rsidRPr="00192B92">
        <w:rPr>
          <w:rFonts w:ascii="Arial" w:hAnsi="Arial" w:cs="Arial"/>
        </w:rPr>
        <w:t>la Presidencia del Consejo General</w:t>
      </w:r>
      <w:r w:rsidR="003F6062">
        <w:rPr>
          <w:rFonts w:ascii="Arial" w:hAnsi="Arial" w:cs="Arial"/>
        </w:rPr>
        <w:t>,</w:t>
      </w:r>
      <w:r w:rsidR="00FE1030" w:rsidRPr="00192B92">
        <w:rPr>
          <w:rFonts w:ascii="Arial" w:hAnsi="Arial" w:cs="Arial"/>
        </w:rPr>
        <w:t xml:space="preserve"> tendrá las atribuciones </w:t>
      </w:r>
      <w:r w:rsidR="00605621" w:rsidRPr="00192B92">
        <w:rPr>
          <w:rFonts w:ascii="Arial" w:hAnsi="Arial" w:cs="Arial"/>
        </w:rPr>
        <w:t xml:space="preserve">en los términos que establece esta Ley </w:t>
      </w:r>
      <w:r w:rsidR="00D335E4" w:rsidRPr="00192B92">
        <w:rPr>
          <w:rFonts w:ascii="Arial" w:hAnsi="Arial" w:cs="Arial"/>
        </w:rPr>
        <w:t>y las demás</w:t>
      </w:r>
      <w:r w:rsidR="00605621" w:rsidRPr="00192B92">
        <w:rPr>
          <w:rFonts w:ascii="Arial" w:hAnsi="Arial" w:cs="Arial"/>
        </w:rPr>
        <w:t xml:space="preserve"> disposiciones normativas aplicables</w:t>
      </w:r>
      <w:r w:rsidR="00D335E4" w:rsidRPr="00192B92">
        <w:rPr>
          <w:rFonts w:ascii="Arial" w:hAnsi="Arial" w:cs="Arial"/>
        </w:rPr>
        <w:t>;</w:t>
      </w:r>
    </w:p>
    <w:p w14:paraId="13171934" w14:textId="77777777" w:rsidR="001C3592" w:rsidRPr="00192B92" w:rsidRDefault="001C3592" w:rsidP="00192B92">
      <w:pPr>
        <w:spacing w:line="276" w:lineRule="auto"/>
        <w:jc w:val="both"/>
        <w:rPr>
          <w:rFonts w:ascii="Arial" w:hAnsi="Arial" w:cs="Arial"/>
          <w:i/>
          <w:iCs/>
          <w:sz w:val="20"/>
          <w:szCs w:val="20"/>
        </w:rPr>
      </w:pPr>
    </w:p>
    <w:p w14:paraId="0993C42E" w14:textId="5F644F6E" w:rsidR="006A0EFF" w:rsidRPr="00192B92" w:rsidRDefault="001C3592" w:rsidP="00192B92">
      <w:pPr>
        <w:spacing w:line="276" w:lineRule="auto"/>
        <w:ind w:left="1276" w:right="1752"/>
        <w:jc w:val="both"/>
        <w:rPr>
          <w:rFonts w:ascii="Arial" w:hAnsi="Arial" w:cs="Arial"/>
          <w:i/>
          <w:iCs/>
          <w:sz w:val="20"/>
          <w:szCs w:val="20"/>
        </w:rPr>
      </w:pPr>
      <w:r w:rsidRPr="00192B92">
        <w:rPr>
          <w:rFonts w:ascii="Arial" w:hAnsi="Arial" w:cs="Arial"/>
          <w:i/>
          <w:iCs/>
          <w:sz w:val="20"/>
          <w:szCs w:val="20"/>
        </w:rPr>
        <w:t>“…II. Establecer los vínculos necesarios entre el Órgano Garante con el Órgano Garante Nacional, el Consejo Consultivo Ciudadano y las demás autoridades federales, estatales y municipales, para lograr su apoyo, colaboración y auxilio, en sus respectivos ámbitos de competencia…” (sic).</w:t>
      </w:r>
    </w:p>
    <w:p w14:paraId="26481A2F" w14:textId="77777777" w:rsidR="00953B64" w:rsidRPr="00192B92" w:rsidRDefault="00953B64" w:rsidP="00192B92">
      <w:pPr>
        <w:spacing w:line="276" w:lineRule="auto"/>
        <w:ind w:left="1276" w:right="1752"/>
        <w:jc w:val="both"/>
        <w:rPr>
          <w:rFonts w:ascii="Arial" w:hAnsi="Arial" w:cs="Arial"/>
          <w:i/>
          <w:iCs/>
          <w:sz w:val="20"/>
          <w:szCs w:val="20"/>
        </w:rPr>
      </w:pPr>
    </w:p>
    <w:p w14:paraId="31D7A0C8" w14:textId="14923D55" w:rsidR="001C3592" w:rsidRDefault="00953B64" w:rsidP="00192B92">
      <w:pPr>
        <w:spacing w:line="276" w:lineRule="auto"/>
        <w:jc w:val="both"/>
        <w:rPr>
          <w:rFonts w:ascii="Arial" w:eastAsia="Arial" w:hAnsi="Arial" w:cs="Arial"/>
        </w:rPr>
      </w:pPr>
      <w:r w:rsidRPr="00192B92">
        <w:rPr>
          <w:rFonts w:ascii="Arial" w:eastAsia="Arial" w:hAnsi="Arial" w:cs="Arial"/>
          <w:b/>
        </w:rPr>
        <w:t xml:space="preserve">CUARTO. </w:t>
      </w:r>
      <w:r w:rsidRPr="00192B92">
        <w:rPr>
          <w:rFonts w:ascii="Arial" w:eastAsia="Arial" w:hAnsi="Arial" w:cs="Arial"/>
        </w:rPr>
        <w:t>Derivado de lo anterior</w:t>
      </w:r>
      <w:r w:rsidR="003F6062">
        <w:rPr>
          <w:rFonts w:ascii="Arial" w:eastAsia="Arial" w:hAnsi="Arial" w:cs="Arial"/>
        </w:rPr>
        <w:t>,</w:t>
      </w:r>
      <w:r w:rsidRPr="00192B92">
        <w:rPr>
          <w:rFonts w:ascii="Arial" w:eastAsia="Arial" w:hAnsi="Arial" w:cs="Arial"/>
        </w:rPr>
        <w:t xml:space="preserve"> el </w:t>
      </w:r>
      <w:r w:rsidR="00192B92" w:rsidRPr="00192B92">
        <w:rPr>
          <w:rFonts w:ascii="Arial" w:eastAsia="Arial" w:hAnsi="Arial" w:cs="Arial"/>
        </w:rPr>
        <w:t xml:space="preserve">Comisionado </w:t>
      </w:r>
      <w:proofErr w:type="gramStart"/>
      <w:r w:rsidR="00192B92" w:rsidRPr="00192B92">
        <w:rPr>
          <w:rFonts w:ascii="Arial" w:eastAsia="Arial" w:hAnsi="Arial" w:cs="Arial"/>
        </w:rPr>
        <w:t>Presidente</w:t>
      </w:r>
      <w:proofErr w:type="gramEnd"/>
      <w:r w:rsidR="00192B92" w:rsidRPr="00192B92">
        <w:rPr>
          <w:rFonts w:ascii="Arial" w:eastAsia="Arial" w:hAnsi="Arial" w:cs="Arial"/>
        </w:rPr>
        <w:t xml:space="preserve"> con </w:t>
      </w:r>
      <w:r w:rsidRPr="00192B92">
        <w:rPr>
          <w:rFonts w:ascii="Arial" w:eastAsia="Arial" w:hAnsi="Arial" w:cs="Arial"/>
        </w:rPr>
        <w:t xml:space="preserve">el fin de crear vínculos jurídicos </w:t>
      </w:r>
      <w:r w:rsidR="00192B92" w:rsidRPr="00192B92">
        <w:rPr>
          <w:rFonts w:ascii="Arial" w:eastAsia="Arial" w:hAnsi="Arial" w:cs="Arial"/>
        </w:rPr>
        <w:t xml:space="preserve">y </w:t>
      </w:r>
      <w:r w:rsidRPr="00192B92">
        <w:rPr>
          <w:rFonts w:ascii="Arial" w:eastAsia="Arial" w:hAnsi="Arial" w:cs="Arial"/>
        </w:rPr>
        <w:t xml:space="preserve">con fundamento </w:t>
      </w:r>
      <w:r w:rsidR="00192B92" w:rsidRPr="00192B92">
        <w:rPr>
          <w:rFonts w:ascii="Arial" w:eastAsia="Arial" w:hAnsi="Arial" w:cs="Arial"/>
        </w:rPr>
        <w:t>en</w:t>
      </w:r>
      <w:r w:rsidRPr="00192B92">
        <w:rPr>
          <w:rFonts w:ascii="Arial" w:eastAsia="Arial" w:hAnsi="Arial" w:cs="Arial"/>
        </w:rPr>
        <w:t xml:space="preserve"> el artículo 96 fracciones </w:t>
      </w:r>
      <w:r w:rsidR="00D643B6" w:rsidRPr="00192B92">
        <w:rPr>
          <w:rFonts w:ascii="Arial" w:eastAsia="Arial" w:hAnsi="Arial" w:cs="Arial"/>
        </w:rPr>
        <w:t xml:space="preserve">I, II, </w:t>
      </w:r>
      <w:r w:rsidRPr="00192B92">
        <w:rPr>
          <w:rFonts w:ascii="Arial" w:eastAsia="Arial" w:hAnsi="Arial" w:cs="Arial"/>
        </w:rPr>
        <w:t>XV y XVIII</w:t>
      </w:r>
      <w:r w:rsidR="00500F09">
        <w:rPr>
          <w:rFonts w:ascii="Arial" w:eastAsia="Arial" w:hAnsi="Arial" w:cs="Arial"/>
        </w:rPr>
        <w:t xml:space="preserve">; </w:t>
      </w:r>
      <w:r w:rsidRPr="00192B92">
        <w:rPr>
          <w:rFonts w:ascii="Arial" w:eastAsia="Arial" w:hAnsi="Arial" w:cs="Arial"/>
        </w:rPr>
        <w:t xml:space="preserve">puede celebrar convenios </w:t>
      </w:r>
      <w:r w:rsidR="00FA1400" w:rsidRPr="00192B92">
        <w:rPr>
          <w:rFonts w:ascii="Arial" w:eastAsia="Arial" w:hAnsi="Arial" w:cs="Arial"/>
        </w:rPr>
        <w:t xml:space="preserve">y/o </w:t>
      </w:r>
      <w:r w:rsidR="00FA1400" w:rsidRPr="00192B92">
        <w:rPr>
          <w:rFonts w:ascii="Arial" w:hAnsi="Arial" w:cs="Arial"/>
          <w:color w:val="202124"/>
          <w:shd w:val="clear" w:color="auto" w:fill="FFFFFF"/>
        </w:rPr>
        <w:t>documentos en el que manifieste la voluntad y compromiso de desarrollar en forma planificada actividades de interés sin fines de lucro</w:t>
      </w:r>
      <w:r w:rsidR="00500F09">
        <w:rPr>
          <w:rFonts w:ascii="Arial" w:hAnsi="Arial" w:cs="Arial"/>
          <w:color w:val="202124"/>
          <w:shd w:val="clear" w:color="auto" w:fill="FFFFFF"/>
        </w:rPr>
        <w:t>, las cuales se transcriben para un mayor entendimiento:</w:t>
      </w:r>
    </w:p>
    <w:p w14:paraId="11499EB4" w14:textId="505A254C" w:rsidR="00500F09" w:rsidRPr="00CE5FB7" w:rsidRDefault="00500F09" w:rsidP="00500F09">
      <w:pPr>
        <w:spacing w:line="276" w:lineRule="auto"/>
        <w:ind w:left="1843" w:right="1043"/>
        <w:jc w:val="both"/>
        <w:rPr>
          <w:rFonts w:ascii="Arial" w:eastAsia="Arial" w:hAnsi="Arial" w:cs="Arial"/>
          <w:i/>
          <w:iCs/>
          <w:sz w:val="20"/>
          <w:szCs w:val="20"/>
        </w:rPr>
      </w:pPr>
    </w:p>
    <w:p w14:paraId="2D55C082" w14:textId="2F0826B4" w:rsidR="00500F09" w:rsidRPr="00CE5FB7" w:rsidRDefault="00CE5FB7" w:rsidP="002C1EAD">
      <w:pPr>
        <w:spacing w:line="276" w:lineRule="auto"/>
        <w:ind w:left="1276" w:right="1894"/>
        <w:jc w:val="both"/>
        <w:rPr>
          <w:rFonts w:ascii="Arial" w:hAnsi="Arial" w:cs="Arial"/>
          <w:i/>
          <w:iCs/>
          <w:sz w:val="20"/>
          <w:szCs w:val="20"/>
        </w:rPr>
      </w:pPr>
      <w:r w:rsidRPr="00CE5FB7">
        <w:rPr>
          <w:rFonts w:ascii="Arial" w:hAnsi="Arial" w:cs="Arial"/>
          <w:i/>
          <w:iCs/>
          <w:sz w:val="20"/>
          <w:szCs w:val="20"/>
        </w:rPr>
        <w:t xml:space="preserve"> </w:t>
      </w:r>
      <w:r>
        <w:rPr>
          <w:rFonts w:ascii="Arial" w:hAnsi="Arial" w:cs="Arial"/>
          <w:i/>
          <w:iCs/>
          <w:sz w:val="20"/>
          <w:szCs w:val="20"/>
        </w:rPr>
        <w:t>“…</w:t>
      </w:r>
      <w:r w:rsidRPr="00CE5FB7">
        <w:rPr>
          <w:rFonts w:ascii="Arial" w:hAnsi="Arial" w:cs="Arial"/>
          <w:i/>
          <w:iCs/>
          <w:sz w:val="20"/>
          <w:szCs w:val="20"/>
        </w:rPr>
        <w:t xml:space="preserve"> I. </w:t>
      </w:r>
      <w:r w:rsidR="00500F09" w:rsidRPr="00CE5FB7">
        <w:rPr>
          <w:rFonts w:ascii="Arial" w:hAnsi="Arial" w:cs="Arial"/>
          <w:i/>
          <w:iCs/>
          <w:sz w:val="20"/>
          <w:szCs w:val="20"/>
        </w:rPr>
        <w:t>Representar legalmente al Órgano Garante ante cualquier entidad pública o privada;</w:t>
      </w:r>
    </w:p>
    <w:p w14:paraId="47FEA6AE" w14:textId="77777777" w:rsidR="00CE5FB7" w:rsidRPr="00CE5FB7" w:rsidRDefault="00CE5FB7" w:rsidP="002C1EAD">
      <w:pPr>
        <w:spacing w:line="276" w:lineRule="auto"/>
        <w:ind w:left="1276" w:right="1894" w:firstLine="142"/>
        <w:jc w:val="both"/>
        <w:rPr>
          <w:rFonts w:ascii="Arial" w:hAnsi="Arial" w:cs="Arial"/>
          <w:i/>
          <w:iCs/>
          <w:sz w:val="20"/>
          <w:szCs w:val="20"/>
        </w:rPr>
      </w:pPr>
    </w:p>
    <w:p w14:paraId="79FDCB7B" w14:textId="3E9B973D" w:rsidR="00500F09" w:rsidRPr="00CE5FB7" w:rsidRDefault="00CE5FB7" w:rsidP="002C1EAD">
      <w:pPr>
        <w:spacing w:line="276" w:lineRule="auto"/>
        <w:ind w:left="1276" w:right="1894"/>
        <w:jc w:val="both"/>
        <w:rPr>
          <w:rFonts w:ascii="Arial" w:hAnsi="Arial" w:cs="Arial"/>
          <w:i/>
          <w:iCs/>
          <w:sz w:val="20"/>
          <w:szCs w:val="20"/>
        </w:rPr>
      </w:pPr>
      <w:r w:rsidRPr="00CE5FB7">
        <w:rPr>
          <w:rFonts w:ascii="Arial" w:hAnsi="Arial" w:cs="Arial"/>
          <w:i/>
          <w:iCs/>
          <w:sz w:val="20"/>
          <w:szCs w:val="20"/>
        </w:rPr>
        <w:t xml:space="preserve">II. </w:t>
      </w:r>
      <w:r w:rsidR="00500F09" w:rsidRPr="00CE5FB7">
        <w:rPr>
          <w:rFonts w:ascii="Arial" w:hAnsi="Arial" w:cs="Arial"/>
          <w:i/>
          <w:iCs/>
          <w:sz w:val="20"/>
          <w:szCs w:val="20"/>
        </w:rPr>
        <w:t>Establecer los vínculos necesarios entre el Órgano Garante con el Órgano Garante Nacional, el Consejo Consultivo Ciudadano y las demás autoridades federales, estatales y municipales, para lograr su apoyo, colaboración y auxilio, en sus respectivos ámbitos de competencia;</w:t>
      </w:r>
    </w:p>
    <w:p w14:paraId="1FE23EC7" w14:textId="77777777" w:rsidR="00CE5FB7" w:rsidRPr="00CE5FB7" w:rsidRDefault="00CE5FB7" w:rsidP="002C1EAD">
      <w:pPr>
        <w:spacing w:line="276" w:lineRule="auto"/>
        <w:ind w:left="1276" w:right="1894" w:firstLine="142"/>
        <w:jc w:val="both"/>
        <w:rPr>
          <w:rFonts w:ascii="Arial" w:eastAsia="Arial" w:hAnsi="Arial" w:cs="Arial"/>
          <w:i/>
          <w:iCs/>
          <w:sz w:val="20"/>
          <w:szCs w:val="20"/>
        </w:rPr>
      </w:pPr>
    </w:p>
    <w:p w14:paraId="2D42D0C1" w14:textId="458F1CB4" w:rsidR="00500F09" w:rsidRPr="00CE5FB7" w:rsidRDefault="00CE5FB7" w:rsidP="002C1EAD">
      <w:pPr>
        <w:spacing w:line="276" w:lineRule="auto"/>
        <w:ind w:left="1276" w:right="1894"/>
        <w:jc w:val="both"/>
        <w:rPr>
          <w:rFonts w:ascii="Arial" w:hAnsi="Arial" w:cs="Arial"/>
          <w:i/>
          <w:iCs/>
          <w:sz w:val="20"/>
          <w:szCs w:val="20"/>
        </w:rPr>
      </w:pPr>
      <w:r w:rsidRPr="00CE5FB7">
        <w:rPr>
          <w:rFonts w:ascii="Arial" w:hAnsi="Arial" w:cs="Arial"/>
          <w:i/>
          <w:iCs/>
          <w:sz w:val="20"/>
          <w:szCs w:val="20"/>
        </w:rPr>
        <w:t xml:space="preserve">XV. </w:t>
      </w:r>
      <w:r w:rsidR="00500F09" w:rsidRPr="00CE5FB7">
        <w:rPr>
          <w:rFonts w:ascii="Arial" w:hAnsi="Arial" w:cs="Arial"/>
          <w:i/>
          <w:iCs/>
          <w:sz w:val="20"/>
          <w:szCs w:val="20"/>
        </w:rPr>
        <w:t>Emitir los acuerdos que sean necesarios para la rápida y eficaz realización y desarrollo de sus atribuciones;</w:t>
      </w:r>
    </w:p>
    <w:p w14:paraId="1E4CF903" w14:textId="77777777" w:rsidR="00CE5FB7" w:rsidRPr="00CE5FB7" w:rsidRDefault="00CE5FB7" w:rsidP="002C1EAD">
      <w:pPr>
        <w:spacing w:line="276" w:lineRule="auto"/>
        <w:ind w:left="1276" w:right="1894" w:firstLine="142"/>
        <w:jc w:val="both"/>
        <w:rPr>
          <w:rFonts w:ascii="Arial" w:eastAsia="Arial" w:hAnsi="Arial" w:cs="Arial"/>
          <w:i/>
          <w:iCs/>
          <w:sz w:val="20"/>
          <w:szCs w:val="20"/>
        </w:rPr>
      </w:pPr>
    </w:p>
    <w:p w14:paraId="01026373" w14:textId="45EA2B42" w:rsidR="00500F09" w:rsidRPr="00CE5FB7" w:rsidRDefault="00CE5FB7" w:rsidP="002C1EAD">
      <w:pPr>
        <w:spacing w:line="276" w:lineRule="auto"/>
        <w:ind w:left="1276" w:right="1894"/>
        <w:jc w:val="both"/>
        <w:rPr>
          <w:rFonts w:ascii="Arial" w:eastAsia="Arial" w:hAnsi="Arial" w:cs="Arial"/>
          <w:i/>
          <w:iCs/>
          <w:sz w:val="20"/>
          <w:szCs w:val="20"/>
        </w:rPr>
      </w:pPr>
      <w:r w:rsidRPr="00CE5FB7">
        <w:rPr>
          <w:rFonts w:ascii="Arial" w:hAnsi="Arial" w:cs="Arial"/>
          <w:i/>
          <w:iCs/>
          <w:sz w:val="20"/>
          <w:szCs w:val="20"/>
        </w:rPr>
        <w:t xml:space="preserve">XVIII. </w:t>
      </w:r>
      <w:r w:rsidR="00500F09" w:rsidRPr="00CE5FB7">
        <w:rPr>
          <w:rFonts w:ascii="Arial" w:hAnsi="Arial" w:cs="Arial"/>
          <w:i/>
          <w:iCs/>
          <w:sz w:val="20"/>
          <w:szCs w:val="20"/>
        </w:rPr>
        <w:t>Las demás que le confiera esta Ley, el Reglamento Interno y otras disposiciones aplicables</w:t>
      </w:r>
      <w:r>
        <w:rPr>
          <w:rFonts w:ascii="Arial" w:hAnsi="Arial" w:cs="Arial"/>
          <w:i/>
          <w:iCs/>
          <w:sz w:val="20"/>
          <w:szCs w:val="20"/>
        </w:rPr>
        <w:t>…” (SIC)</w:t>
      </w:r>
    </w:p>
    <w:p w14:paraId="59A6A59D" w14:textId="77777777" w:rsidR="00A26AE9" w:rsidRPr="00192B92" w:rsidRDefault="00A26AE9" w:rsidP="00192B92">
      <w:pPr>
        <w:tabs>
          <w:tab w:val="left" w:pos="9356"/>
        </w:tabs>
        <w:spacing w:line="276" w:lineRule="auto"/>
        <w:jc w:val="both"/>
        <w:rPr>
          <w:rFonts w:ascii="Arial" w:eastAsia="Arial Unicode MS" w:hAnsi="Arial" w:cs="Arial"/>
        </w:rPr>
      </w:pPr>
    </w:p>
    <w:p w14:paraId="13244109" w14:textId="3EB099BC" w:rsidR="000C3987" w:rsidRPr="00192B92" w:rsidRDefault="00A71C30" w:rsidP="00192B92">
      <w:pPr>
        <w:tabs>
          <w:tab w:val="left" w:pos="9356"/>
        </w:tabs>
        <w:spacing w:line="276" w:lineRule="auto"/>
        <w:jc w:val="both"/>
        <w:rPr>
          <w:rFonts w:ascii="Arial" w:eastAsia="Times New Roman" w:hAnsi="Arial" w:cs="Arial"/>
          <w:color w:val="000000"/>
          <w:lang w:eastAsia="es-MX"/>
        </w:rPr>
      </w:pPr>
      <w:r w:rsidRPr="00192B92">
        <w:rPr>
          <w:rFonts w:ascii="Arial" w:eastAsia="Arial Unicode MS" w:hAnsi="Arial" w:cs="Arial"/>
        </w:rPr>
        <w:t xml:space="preserve">Por lo expuesto y con fundamento en los artículos 6 apartado A, fracción VIII, y 116 fracción VIII de la Constitución Política de los Estados Unidos Mexicanos; 42 de la Ley General de Transparencia y Acceso a la Información Pública; 93 fracción II, </w:t>
      </w:r>
      <w:r w:rsidR="001C3592" w:rsidRPr="00192B92">
        <w:rPr>
          <w:rFonts w:ascii="Arial" w:eastAsia="Arial Unicode MS" w:hAnsi="Arial" w:cs="Arial"/>
        </w:rPr>
        <w:t>a</w:t>
      </w:r>
      <w:r w:rsidRPr="00192B92">
        <w:rPr>
          <w:rFonts w:ascii="Arial" w:eastAsia="Arial Unicode MS" w:hAnsi="Arial" w:cs="Arial"/>
        </w:rPr>
        <w:t xml:space="preserve">) </w:t>
      </w:r>
      <w:r w:rsidRPr="00192B92">
        <w:rPr>
          <w:rFonts w:ascii="Arial" w:eastAsia="Arial Unicode MS" w:hAnsi="Arial" w:cs="Arial"/>
        </w:rPr>
        <w:lastRenderedPageBreak/>
        <w:t xml:space="preserve">de la Ley de Transparencia y Acceso a la Información Pública para el estado de Oaxaca; el Consejo General </w:t>
      </w:r>
      <w:r w:rsidR="000A1F1C" w:rsidRPr="00192B92">
        <w:rPr>
          <w:rFonts w:ascii="Arial" w:eastAsia="Times New Roman" w:hAnsi="Arial" w:cs="Arial"/>
          <w:color w:val="000000"/>
          <w:lang w:eastAsia="es-MX"/>
        </w:rPr>
        <w:t xml:space="preserve">de este </w:t>
      </w:r>
      <w:r w:rsidR="00961C8E" w:rsidRPr="00192B92">
        <w:rPr>
          <w:rFonts w:ascii="Arial" w:eastAsia="Times New Roman" w:hAnsi="Arial" w:cs="Arial"/>
          <w:color w:val="000000"/>
          <w:lang w:eastAsia="es-MX"/>
        </w:rPr>
        <w:t>Ó</w:t>
      </w:r>
      <w:r w:rsidR="000A1F1C" w:rsidRPr="00192B92">
        <w:rPr>
          <w:rFonts w:ascii="Arial" w:eastAsia="Times New Roman" w:hAnsi="Arial" w:cs="Arial"/>
          <w:color w:val="000000"/>
          <w:lang w:eastAsia="es-MX"/>
        </w:rPr>
        <w:t xml:space="preserve">rgano </w:t>
      </w:r>
      <w:r w:rsidR="00961C8E" w:rsidRPr="00192B92">
        <w:rPr>
          <w:rFonts w:ascii="Arial" w:eastAsia="Times New Roman" w:hAnsi="Arial" w:cs="Arial"/>
          <w:color w:val="000000"/>
          <w:lang w:eastAsia="es-MX"/>
        </w:rPr>
        <w:t>G</w:t>
      </w:r>
      <w:r w:rsidR="000A1F1C" w:rsidRPr="00192B92">
        <w:rPr>
          <w:rFonts w:ascii="Arial" w:eastAsia="Times New Roman" w:hAnsi="Arial" w:cs="Arial"/>
          <w:color w:val="000000"/>
          <w:lang w:eastAsia="es-MX"/>
        </w:rPr>
        <w:t>arante;</w:t>
      </w:r>
    </w:p>
    <w:p w14:paraId="6F228B3E" w14:textId="77777777" w:rsidR="002C1EAD" w:rsidRPr="00192B92" w:rsidRDefault="002C1EAD" w:rsidP="00192B92">
      <w:pPr>
        <w:tabs>
          <w:tab w:val="left" w:pos="9356"/>
        </w:tabs>
        <w:spacing w:line="276" w:lineRule="auto"/>
        <w:jc w:val="both"/>
        <w:rPr>
          <w:rFonts w:ascii="Arial" w:eastAsia="Times New Roman" w:hAnsi="Arial" w:cs="Arial"/>
          <w:color w:val="000000"/>
          <w:lang w:eastAsia="es-MX"/>
        </w:rPr>
      </w:pPr>
    </w:p>
    <w:p w14:paraId="3774C7E8" w14:textId="66C19C6F" w:rsidR="002C1EAD" w:rsidRPr="00192B92" w:rsidRDefault="00DB7A46" w:rsidP="002C1EAD">
      <w:pPr>
        <w:shd w:val="clear" w:color="auto" w:fill="FFFFFF"/>
        <w:spacing w:after="225" w:line="276" w:lineRule="auto"/>
        <w:jc w:val="center"/>
        <w:rPr>
          <w:rFonts w:ascii="Arial" w:eastAsia="Times New Roman" w:hAnsi="Arial" w:cs="Arial"/>
          <w:b/>
          <w:bCs/>
          <w:color w:val="000000"/>
          <w:lang w:eastAsia="es-MX"/>
        </w:rPr>
      </w:pPr>
      <w:r w:rsidRPr="00192B92">
        <w:rPr>
          <w:rFonts w:ascii="Arial" w:eastAsia="Times New Roman" w:hAnsi="Arial" w:cs="Arial"/>
          <w:b/>
          <w:bCs/>
          <w:color w:val="000000"/>
          <w:lang w:eastAsia="es-MX"/>
        </w:rPr>
        <w:t>R</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E</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S</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U</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E</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L</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V</w:t>
      </w:r>
      <w:r w:rsidR="000C3987" w:rsidRPr="00192B92">
        <w:rPr>
          <w:rFonts w:ascii="Arial" w:eastAsia="Times New Roman" w:hAnsi="Arial" w:cs="Arial"/>
          <w:b/>
          <w:bCs/>
          <w:color w:val="000000"/>
          <w:lang w:eastAsia="es-MX"/>
        </w:rPr>
        <w:t xml:space="preserve"> </w:t>
      </w:r>
      <w:r w:rsidRPr="00192B92">
        <w:rPr>
          <w:rFonts w:ascii="Arial" w:eastAsia="Times New Roman" w:hAnsi="Arial" w:cs="Arial"/>
          <w:b/>
          <w:bCs/>
          <w:color w:val="000000"/>
          <w:lang w:eastAsia="es-MX"/>
        </w:rPr>
        <w:t>E</w:t>
      </w:r>
      <w:r w:rsidR="000C3987" w:rsidRPr="00192B92">
        <w:rPr>
          <w:rFonts w:ascii="Arial" w:eastAsia="Times New Roman" w:hAnsi="Arial" w:cs="Arial"/>
          <w:b/>
          <w:bCs/>
          <w:color w:val="000000"/>
          <w:lang w:eastAsia="es-MX"/>
        </w:rPr>
        <w:t>:</w:t>
      </w:r>
    </w:p>
    <w:p w14:paraId="536A1F88" w14:textId="49479CA7" w:rsidR="00961C8E" w:rsidRPr="00192B92" w:rsidRDefault="002E51F9" w:rsidP="00192B92">
      <w:pPr>
        <w:spacing w:line="276" w:lineRule="auto"/>
        <w:jc w:val="both"/>
        <w:rPr>
          <w:rFonts w:ascii="Arial" w:eastAsia="Arial Unicode MS" w:hAnsi="Arial" w:cs="Arial"/>
          <w:b/>
          <w:sz w:val="20"/>
          <w:szCs w:val="20"/>
        </w:rPr>
      </w:pPr>
      <w:r w:rsidRPr="00192B92">
        <w:rPr>
          <w:rFonts w:ascii="Arial" w:eastAsia="Arial Unicode MS" w:hAnsi="Arial" w:cs="Arial"/>
          <w:b/>
          <w:bCs/>
        </w:rPr>
        <w:t>P</w:t>
      </w:r>
      <w:r w:rsidR="00C25068" w:rsidRPr="00192B92">
        <w:rPr>
          <w:rFonts w:ascii="Arial" w:eastAsia="Arial Unicode MS" w:hAnsi="Arial" w:cs="Arial"/>
          <w:b/>
          <w:bCs/>
        </w:rPr>
        <w:t>RIMERO.</w:t>
      </w:r>
      <w:r w:rsidR="00C25068" w:rsidRPr="00192B92">
        <w:rPr>
          <w:rFonts w:ascii="Arial" w:eastAsia="Arial Unicode MS" w:hAnsi="Arial" w:cs="Arial"/>
        </w:rPr>
        <w:t xml:space="preserve"> </w:t>
      </w:r>
      <w:r w:rsidR="00FA1400" w:rsidRPr="00192B92">
        <w:rPr>
          <w:rFonts w:ascii="Arial" w:eastAsia="Arial" w:hAnsi="Arial" w:cs="Arial"/>
        </w:rPr>
        <w:t xml:space="preserve">Se </w:t>
      </w:r>
      <w:r w:rsidR="00D72B44">
        <w:rPr>
          <w:rFonts w:ascii="Arial" w:eastAsia="Arial" w:hAnsi="Arial" w:cs="Arial"/>
        </w:rPr>
        <w:t>autoriza</w:t>
      </w:r>
      <w:r w:rsidR="00FA1400" w:rsidRPr="00192B92">
        <w:rPr>
          <w:rFonts w:ascii="Arial" w:eastAsia="Arial" w:hAnsi="Arial" w:cs="Arial"/>
        </w:rPr>
        <w:t xml:space="preserve"> al Ciudadano José Luis Echeverría Morales en su calidad de Comisionado </w:t>
      </w:r>
      <w:proofErr w:type="gramStart"/>
      <w:r w:rsidR="00FA1400" w:rsidRPr="00192B92">
        <w:rPr>
          <w:rFonts w:ascii="Arial" w:eastAsia="Arial" w:hAnsi="Arial" w:cs="Arial"/>
        </w:rPr>
        <w:t>Presidente</w:t>
      </w:r>
      <w:proofErr w:type="gramEnd"/>
      <w:r w:rsidR="00160CA2">
        <w:rPr>
          <w:rFonts w:ascii="Arial" w:eastAsia="Arial" w:hAnsi="Arial" w:cs="Arial"/>
        </w:rPr>
        <w:t xml:space="preserve"> del</w:t>
      </w:r>
      <w:r w:rsidR="00FA1400" w:rsidRPr="00192B92">
        <w:rPr>
          <w:rFonts w:ascii="Arial" w:eastAsia="Arial" w:hAnsi="Arial" w:cs="Arial"/>
        </w:rPr>
        <w:t xml:space="preserve"> </w:t>
      </w:r>
      <w:r w:rsidR="00160CA2" w:rsidRPr="00192B92">
        <w:rPr>
          <w:rFonts w:ascii="Arial" w:eastAsia="Arial" w:hAnsi="Arial" w:cs="Arial"/>
        </w:rPr>
        <w:t xml:space="preserve">Órgano Garante </w:t>
      </w:r>
      <w:r w:rsidR="00160CA2" w:rsidRPr="00192B92">
        <w:rPr>
          <w:rFonts w:ascii="Arial" w:eastAsia="Arial Unicode MS" w:hAnsi="Arial" w:cs="Arial"/>
        </w:rPr>
        <w:t>Órgano Garante de Acceso a la Información Pública, Transparencia, Protección de Datos Personales y Buen Gobierno del Estado de Oaxaca</w:t>
      </w:r>
      <w:r w:rsidR="003F6062">
        <w:rPr>
          <w:rFonts w:ascii="Arial" w:eastAsia="Arial Unicode MS" w:hAnsi="Arial" w:cs="Arial"/>
        </w:rPr>
        <w:t>,</w:t>
      </w:r>
      <w:r w:rsidR="00160CA2" w:rsidRPr="00192B92">
        <w:rPr>
          <w:rFonts w:ascii="Arial" w:eastAsia="Arial" w:hAnsi="Arial" w:cs="Arial"/>
        </w:rPr>
        <w:t xml:space="preserve"> </w:t>
      </w:r>
      <w:r w:rsidR="00FA1400" w:rsidRPr="00192B92">
        <w:rPr>
          <w:rFonts w:ascii="Arial" w:eastAsia="Arial" w:hAnsi="Arial" w:cs="Arial"/>
        </w:rPr>
        <w:t xml:space="preserve">para que </w:t>
      </w:r>
      <w:r w:rsidR="004370B3" w:rsidRPr="00192B92">
        <w:rPr>
          <w:rFonts w:ascii="Arial" w:eastAsia="Arial" w:hAnsi="Arial" w:cs="Arial"/>
        </w:rPr>
        <w:t xml:space="preserve">firme convenios </w:t>
      </w:r>
      <w:r w:rsidR="00E927D1" w:rsidRPr="00192B92">
        <w:rPr>
          <w:rFonts w:ascii="Arial" w:eastAsia="Arial" w:hAnsi="Arial" w:cs="Arial"/>
        </w:rPr>
        <w:t>con</w:t>
      </w:r>
      <w:r w:rsidR="004370B3" w:rsidRPr="00192B92">
        <w:rPr>
          <w:rFonts w:ascii="Arial" w:eastAsia="Arial" w:hAnsi="Arial" w:cs="Arial"/>
        </w:rPr>
        <w:t xml:space="preserve"> </w:t>
      </w:r>
      <w:r w:rsidR="00E927D1" w:rsidRPr="00192B92">
        <w:rPr>
          <w:rFonts w:ascii="Arial" w:eastAsia="Arial" w:hAnsi="Arial" w:cs="Arial"/>
        </w:rPr>
        <w:t xml:space="preserve">los </w:t>
      </w:r>
      <w:r w:rsidR="00160CA2">
        <w:rPr>
          <w:rFonts w:ascii="Arial" w:eastAsia="Arial" w:hAnsi="Arial" w:cs="Arial"/>
        </w:rPr>
        <w:t>P</w:t>
      </w:r>
      <w:r w:rsidR="00E927D1" w:rsidRPr="00192B92">
        <w:rPr>
          <w:rFonts w:ascii="Arial" w:eastAsia="Arial" w:hAnsi="Arial" w:cs="Arial"/>
        </w:rPr>
        <w:t>oderes del Estad</w:t>
      </w:r>
      <w:r w:rsidR="00CD329E">
        <w:rPr>
          <w:rFonts w:ascii="Arial" w:eastAsia="Arial" w:hAnsi="Arial" w:cs="Arial"/>
        </w:rPr>
        <w:t>o</w:t>
      </w:r>
      <w:r w:rsidR="00E927D1" w:rsidRPr="00192B92">
        <w:rPr>
          <w:rFonts w:ascii="Arial" w:eastAsia="Arial" w:hAnsi="Arial" w:cs="Arial"/>
        </w:rPr>
        <w:t>, Órgano</w:t>
      </w:r>
      <w:r w:rsidR="00CD329E">
        <w:rPr>
          <w:rFonts w:ascii="Arial" w:eastAsia="Arial" w:hAnsi="Arial" w:cs="Arial"/>
        </w:rPr>
        <w:t>s Constitucionalmente</w:t>
      </w:r>
      <w:r w:rsidR="00E927D1" w:rsidRPr="00192B92">
        <w:rPr>
          <w:rFonts w:ascii="Arial" w:eastAsia="Arial" w:hAnsi="Arial" w:cs="Arial"/>
        </w:rPr>
        <w:t xml:space="preserve"> Autónomos</w:t>
      </w:r>
      <w:r w:rsidR="00CD329E">
        <w:rPr>
          <w:rFonts w:ascii="Arial" w:eastAsia="Arial" w:hAnsi="Arial" w:cs="Arial"/>
        </w:rPr>
        <w:t>, Dependencias y Entidades de la Administración Pública Federal y Estatal,</w:t>
      </w:r>
      <w:r w:rsidR="00160CA2">
        <w:rPr>
          <w:rFonts w:ascii="Arial" w:eastAsia="Arial Unicode MS" w:hAnsi="Arial" w:cs="Arial"/>
          <w:bCs/>
        </w:rPr>
        <w:t xml:space="preserve"> </w:t>
      </w:r>
      <w:r w:rsidR="00E927D1" w:rsidRPr="00192B92">
        <w:rPr>
          <w:rFonts w:ascii="Arial" w:eastAsia="Arial Unicode MS" w:hAnsi="Arial" w:cs="Arial"/>
          <w:bCs/>
        </w:rPr>
        <w:t xml:space="preserve">Municipios del Estado de Oaxaca, y demás </w:t>
      </w:r>
      <w:r w:rsidR="00021139">
        <w:rPr>
          <w:rFonts w:ascii="Arial" w:eastAsia="Arial Unicode MS" w:hAnsi="Arial" w:cs="Arial"/>
          <w:bCs/>
        </w:rPr>
        <w:t>O</w:t>
      </w:r>
      <w:r w:rsidR="00021139" w:rsidRPr="00192B92">
        <w:rPr>
          <w:rFonts w:ascii="Arial" w:eastAsia="Arial Unicode MS" w:hAnsi="Arial" w:cs="Arial"/>
          <w:bCs/>
        </w:rPr>
        <w:t>rganismos</w:t>
      </w:r>
      <w:r w:rsidR="00E927D1" w:rsidRPr="00192B92">
        <w:rPr>
          <w:rFonts w:ascii="Arial" w:eastAsia="Arial Unicode MS" w:hAnsi="Arial" w:cs="Arial"/>
          <w:bCs/>
        </w:rPr>
        <w:t xml:space="preserve"> de la </w:t>
      </w:r>
      <w:r w:rsidR="00021139">
        <w:rPr>
          <w:rFonts w:ascii="Arial" w:eastAsia="Arial Unicode MS" w:hAnsi="Arial" w:cs="Arial"/>
          <w:bCs/>
        </w:rPr>
        <w:t>s</w:t>
      </w:r>
      <w:r w:rsidR="00E927D1" w:rsidRPr="00192B92">
        <w:rPr>
          <w:rFonts w:ascii="Arial" w:eastAsia="Arial Unicode MS" w:hAnsi="Arial" w:cs="Arial"/>
          <w:bCs/>
        </w:rPr>
        <w:t xml:space="preserve">ociedad </w:t>
      </w:r>
      <w:r w:rsidR="00021139">
        <w:rPr>
          <w:rFonts w:ascii="Arial" w:eastAsia="Arial Unicode MS" w:hAnsi="Arial" w:cs="Arial"/>
          <w:bCs/>
        </w:rPr>
        <w:t>c</w:t>
      </w:r>
      <w:r w:rsidR="00E927D1" w:rsidRPr="00192B92">
        <w:rPr>
          <w:rFonts w:ascii="Arial" w:eastAsia="Arial Unicode MS" w:hAnsi="Arial" w:cs="Arial"/>
          <w:bCs/>
        </w:rPr>
        <w:t>ivil</w:t>
      </w:r>
      <w:r w:rsidR="00160CA2">
        <w:rPr>
          <w:rFonts w:ascii="Arial" w:eastAsia="Arial" w:hAnsi="Arial" w:cs="Arial"/>
        </w:rPr>
        <w:t>.</w:t>
      </w:r>
    </w:p>
    <w:p w14:paraId="36B03524" w14:textId="77777777" w:rsidR="00717488" w:rsidRPr="00192B92" w:rsidRDefault="00717488" w:rsidP="00192B92">
      <w:pPr>
        <w:spacing w:line="276" w:lineRule="auto"/>
        <w:jc w:val="both"/>
        <w:rPr>
          <w:rFonts w:ascii="Arial" w:eastAsia="Arial Unicode MS" w:hAnsi="Arial" w:cs="Arial"/>
          <w:b/>
          <w:bCs/>
        </w:rPr>
      </w:pPr>
    </w:p>
    <w:p w14:paraId="61A7187D" w14:textId="7A1A5A9E" w:rsidR="00D72B44" w:rsidRDefault="002A6993" w:rsidP="00D72B44">
      <w:pPr>
        <w:spacing w:line="276" w:lineRule="auto"/>
        <w:jc w:val="both"/>
        <w:rPr>
          <w:rFonts w:ascii="Arial" w:eastAsia="Arial" w:hAnsi="Arial" w:cs="Arial"/>
        </w:rPr>
      </w:pPr>
      <w:r w:rsidRPr="00192B92">
        <w:rPr>
          <w:rFonts w:ascii="Arial" w:eastAsia="Arial Unicode MS" w:hAnsi="Arial" w:cs="Arial"/>
          <w:b/>
          <w:bCs/>
        </w:rPr>
        <w:t>SEGUNDO</w:t>
      </w:r>
      <w:r w:rsidR="00717488" w:rsidRPr="00192B92">
        <w:rPr>
          <w:rFonts w:ascii="Arial" w:eastAsia="Arial Unicode MS" w:hAnsi="Arial" w:cs="Arial"/>
          <w:b/>
          <w:bCs/>
        </w:rPr>
        <w:t xml:space="preserve">. </w:t>
      </w:r>
      <w:r w:rsidR="00D72B44" w:rsidRPr="00D72B44">
        <w:rPr>
          <w:rFonts w:ascii="Arial" w:eastAsia="Arial" w:hAnsi="Arial" w:cs="Arial"/>
        </w:rPr>
        <w:t xml:space="preserve">El Consejo General de este Órgano Garante </w:t>
      </w:r>
      <w:r w:rsidR="00A066FB">
        <w:rPr>
          <w:rFonts w:ascii="Arial" w:eastAsia="Arial" w:hAnsi="Arial" w:cs="Arial"/>
        </w:rPr>
        <w:t>solicita</w:t>
      </w:r>
      <w:r w:rsidR="00D72B44" w:rsidRPr="00D72B44">
        <w:rPr>
          <w:rFonts w:ascii="Arial" w:eastAsia="Arial" w:hAnsi="Arial" w:cs="Arial"/>
        </w:rPr>
        <w:t xml:space="preserve"> al Comisionado </w:t>
      </w:r>
      <w:proofErr w:type="gramStart"/>
      <w:r w:rsidR="00D72B44" w:rsidRPr="00D72B44">
        <w:rPr>
          <w:rFonts w:ascii="Arial" w:eastAsia="Arial" w:hAnsi="Arial" w:cs="Arial"/>
        </w:rPr>
        <w:t>Presidente</w:t>
      </w:r>
      <w:proofErr w:type="gramEnd"/>
      <w:r w:rsidR="00D72B44" w:rsidRPr="00D72B44">
        <w:rPr>
          <w:rFonts w:ascii="Arial" w:eastAsia="Arial" w:hAnsi="Arial" w:cs="Arial"/>
        </w:rPr>
        <w:t xml:space="preserve"> Ciudadano José Luis Echeverría Morales, realice un informe periódico al Consejo General, en el cual indique el objeto y alcance de cada uno de los convenios que ha</w:t>
      </w:r>
      <w:r w:rsidR="00D72B44">
        <w:rPr>
          <w:rFonts w:ascii="Arial" w:eastAsia="Arial" w:hAnsi="Arial" w:cs="Arial"/>
        </w:rPr>
        <w:t>y</w:t>
      </w:r>
      <w:r w:rsidR="00D72B44" w:rsidRPr="00D72B44">
        <w:rPr>
          <w:rFonts w:ascii="Arial" w:eastAsia="Arial" w:hAnsi="Arial" w:cs="Arial"/>
        </w:rPr>
        <w:t>a celebrado</w:t>
      </w:r>
      <w:r w:rsidR="00582BB8">
        <w:rPr>
          <w:rFonts w:ascii="Arial" w:eastAsia="Arial" w:hAnsi="Arial" w:cs="Arial"/>
        </w:rPr>
        <w:t>.</w:t>
      </w:r>
    </w:p>
    <w:p w14:paraId="319E346A" w14:textId="77777777" w:rsidR="00BA2021" w:rsidRPr="00192B92" w:rsidRDefault="00BA2021" w:rsidP="00192B92">
      <w:pPr>
        <w:spacing w:line="276" w:lineRule="auto"/>
        <w:jc w:val="both"/>
        <w:rPr>
          <w:rFonts w:ascii="Arial" w:eastAsia="Arial" w:hAnsi="Arial" w:cs="Arial"/>
        </w:rPr>
      </w:pPr>
    </w:p>
    <w:p w14:paraId="363FD557" w14:textId="07B33A66" w:rsidR="002A6993" w:rsidRPr="00192B92" w:rsidRDefault="00717488" w:rsidP="00192B92">
      <w:pPr>
        <w:spacing w:line="276" w:lineRule="auto"/>
        <w:jc w:val="both"/>
        <w:rPr>
          <w:rFonts w:ascii="Arial" w:eastAsia="Arial Unicode MS" w:hAnsi="Arial" w:cs="Arial"/>
        </w:rPr>
      </w:pPr>
      <w:r w:rsidRPr="00192B92">
        <w:rPr>
          <w:rFonts w:ascii="Arial" w:eastAsia="Arial Unicode MS" w:hAnsi="Arial" w:cs="Arial"/>
          <w:b/>
          <w:bCs/>
        </w:rPr>
        <w:t>TERCERO.</w:t>
      </w:r>
      <w:r w:rsidRPr="00192B92">
        <w:rPr>
          <w:rFonts w:ascii="Arial" w:eastAsia="Arial Unicode MS" w:hAnsi="Arial" w:cs="Arial"/>
        </w:rPr>
        <w:t xml:space="preserve"> </w:t>
      </w:r>
      <w:r w:rsidR="002A6993" w:rsidRPr="00192B92">
        <w:rPr>
          <w:rFonts w:ascii="Arial" w:eastAsia="Arial Unicode MS" w:hAnsi="Arial" w:cs="Arial"/>
        </w:rPr>
        <w:t xml:space="preserve">El presente Acuerdo </w:t>
      </w:r>
      <w:r w:rsidR="00754AF1" w:rsidRPr="00192B92">
        <w:rPr>
          <w:rFonts w:ascii="Arial" w:eastAsia="Arial Unicode MS" w:hAnsi="Arial" w:cs="Arial"/>
        </w:rPr>
        <w:t>entrará en vigor</w:t>
      </w:r>
      <w:r w:rsidR="002A6993" w:rsidRPr="00192B92">
        <w:rPr>
          <w:rFonts w:ascii="Arial" w:eastAsia="Arial Unicode MS" w:hAnsi="Arial" w:cs="Arial"/>
        </w:rPr>
        <w:t xml:space="preserve"> al momento de su aprobación por </w:t>
      </w:r>
      <w:r w:rsidR="00961C8E" w:rsidRPr="00192B92">
        <w:rPr>
          <w:rFonts w:ascii="Arial" w:eastAsia="Arial Unicode MS" w:hAnsi="Arial" w:cs="Arial"/>
        </w:rPr>
        <w:t xml:space="preserve">el Consejo General de este </w:t>
      </w:r>
      <w:r w:rsidR="002A6993" w:rsidRPr="00192B92">
        <w:rPr>
          <w:rFonts w:ascii="Arial" w:eastAsia="Arial Unicode MS" w:hAnsi="Arial" w:cs="Arial"/>
        </w:rPr>
        <w:t xml:space="preserve">el Órgano Garante de Acceso a la Información, </w:t>
      </w:r>
      <w:r w:rsidR="003F6062">
        <w:rPr>
          <w:rFonts w:ascii="Arial" w:eastAsia="Arial Unicode MS" w:hAnsi="Arial" w:cs="Arial"/>
        </w:rPr>
        <w:t xml:space="preserve">Pública, </w:t>
      </w:r>
      <w:r w:rsidR="002A6993" w:rsidRPr="00192B92">
        <w:rPr>
          <w:rFonts w:ascii="Arial" w:eastAsia="Arial Unicode MS" w:hAnsi="Arial" w:cs="Arial"/>
        </w:rPr>
        <w:t>Transparencia, Protección de Datos Personales y Buen Gobierno del Estado de Oaxaca.</w:t>
      </w:r>
    </w:p>
    <w:p w14:paraId="2F7EBA6F" w14:textId="77777777" w:rsidR="00885A87" w:rsidRPr="00192B92" w:rsidRDefault="00885A87" w:rsidP="00192B92">
      <w:pPr>
        <w:spacing w:line="276" w:lineRule="auto"/>
        <w:jc w:val="both"/>
        <w:rPr>
          <w:rFonts w:ascii="Arial" w:eastAsia="Arial Unicode MS" w:hAnsi="Arial" w:cs="Arial"/>
        </w:rPr>
      </w:pPr>
    </w:p>
    <w:p w14:paraId="3F117BAE" w14:textId="01D4216B" w:rsidR="0018582E" w:rsidRPr="00192B92" w:rsidRDefault="004370B3" w:rsidP="00192B92">
      <w:pPr>
        <w:spacing w:line="276" w:lineRule="auto"/>
        <w:jc w:val="both"/>
        <w:rPr>
          <w:rFonts w:ascii="Arial" w:eastAsia="Arial Unicode MS" w:hAnsi="Arial" w:cs="Arial"/>
        </w:rPr>
      </w:pPr>
      <w:r w:rsidRPr="00192B92">
        <w:rPr>
          <w:rFonts w:ascii="Arial" w:eastAsia="Arial Unicode MS" w:hAnsi="Arial" w:cs="Arial"/>
          <w:b/>
          <w:bCs/>
        </w:rPr>
        <w:t>CUARTO</w:t>
      </w:r>
      <w:r w:rsidR="00C25068" w:rsidRPr="00192B92">
        <w:rPr>
          <w:rFonts w:ascii="Arial" w:eastAsia="Arial Unicode MS" w:hAnsi="Arial" w:cs="Arial"/>
          <w:b/>
          <w:bCs/>
        </w:rPr>
        <w:t>.</w:t>
      </w:r>
      <w:r w:rsidR="0018582E" w:rsidRPr="00192B92">
        <w:rPr>
          <w:rFonts w:ascii="Arial" w:eastAsia="Arial Unicode MS" w:hAnsi="Arial" w:cs="Arial"/>
          <w:b/>
          <w:bCs/>
        </w:rPr>
        <w:t xml:space="preserve"> </w:t>
      </w:r>
      <w:r w:rsidR="00C25068" w:rsidRPr="00192B92">
        <w:rPr>
          <w:rFonts w:ascii="Arial" w:eastAsia="Arial Unicode MS" w:hAnsi="Arial" w:cs="Arial"/>
        </w:rPr>
        <w:t xml:space="preserve"> </w:t>
      </w:r>
      <w:r w:rsidR="00D46979" w:rsidRPr="00192B92">
        <w:rPr>
          <w:rFonts w:ascii="Arial" w:eastAsia="Arial Unicode MS" w:hAnsi="Arial" w:cs="Arial"/>
        </w:rPr>
        <w:t>S</w:t>
      </w:r>
      <w:r w:rsidR="0018582E" w:rsidRPr="00192B92">
        <w:rPr>
          <w:rFonts w:ascii="Arial" w:eastAsia="Arial Unicode MS" w:hAnsi="Arial" w:cs="Arial"/>
        </w:rPr>
        <w:t>e instruye a la Secretaría General de Acuerdos</w:t>
      </w:r>
      <w:r w:rsidR="003F6062">
        <w:rPr>
          <w:rFonts w:ascii="Arial" w:eastAsia="Arial Unicode MS" w:hAnsi="Arial" w:cs="Arial"/>
        </w:rPr>
        <w:t>,</w:t>
      </w:r>
      <w:r w:rsidR="0018582E" w:rsidRPr="00192B92">
        <w:rPr>
          <w:rFonts w:ascii="Arial" w:eastAsia="Arial Unicode MS" w:hAnsi="Arial" w:cs="Arial"/>
        </w:rPr>
        <w:t xml:space="preserve"> notificarlo a todas las </w:t>
      </w:r>
      <w:r w:rsidR="00754AF1" w:rsidRPr="00192B92">
        <w:rPr>
          <w:rFonts w:ascii="Arial" w:eastAsia="Arial Unicode MS" w:hAnsi="Arial" w:cs="Arial"/>
        </w:rPr>
        <w:t>U</w:t>
      </w:r>
      <w:r w:rsidR="0018582E" w:rsidRPr="00192B92">
        <w:rPr>
          <w:rFonts w:ascii="Arial" w:eastAsia="Arial Unicode MS" w:hAnsi="Arial" w:cs="Arial"/>
        </w:rPr>
        <w:t xml:space="preserve">nidades </w:t>
      </w:r>
      <w:r w:rsidR="00754AF1" w:rsidRPr="00192B92">
        <w:rPr>
          <w:rFonts w:ascii="Arial" w:eastAsia="Arial Unicode MS" w:hAnsi="Arial" w:cs="Arial"/>
        </w:rPr>
        <w:t>A</w:t>
      </w:r>
      <w:r w:rsidR="0018582E" w:rsidRPr="00192B92">
        <w:rPr>
          <w:rFonts w:ascii="Arial" w:eastAsia="Arial Unicode MS" w:hAnsi="Arial" w:cs="Arial"/>
        </w:rPr>
        <w:t xml:space="preserve">dministrativas del </w:t>
      </w:r>
      <w:bookmarkStart w:id="0" w:name="_Hlk89165700"/>
      <w:r w:rsidR="004D4B91" w:rsidRPr="00192B92">
        <w:rPr>
          <w:rFonts w:ascii="Arial" w:eastAsia="Arial Unicode MS" w:hAnsi="Arial" w:cs="Arial"/>
        </w:rPr>
        <w:t>Órgano Garante de Acceso a la Información Pública, Transparencia, Protección de Datos Personales y Buen Gobierno del Estado de Oaxaca</w:t>
      </w:r>
      <w:bookmarkEnd w:id="0"/>
      <w:r w:rsidR="0018582E" w:rsidRPr="00192B92">
        <w:rPr>
          <w:rFonts w:ascii="Arial" w:eastAsia="Arial Unicode MS" w:hAnsi="Arial" w:cs="Arial"/>
        </w:rPr>
        <w:t>, para que dentro de sus atribuciones y facultades realicen lo necesario para cumplir con los efectos legales y administrativos correspondientes.</w:t>
      </w:r>
    </w:p>
    <w:p w14:paraId="2E65B899" w14:textId="77777777" w:rsidR="000A1FF1" w:rsidRPr="00192B92" w:rsidRDefault="000A1FF1" w:rsidP="00192B92">
      <w:pPr>
        <w:spacing w:line="276" w:lineRule="auto"/>
        <w:jc w:val="both"/>
        <w:rPr>
          <w:rFonts w:ascii="Arial" w:eastAsia="Arial Unicode MS" w:hAnsi="Arial" w:cs="Arial"/>
        </w:rPr>
      </w:pPr>
    </w:p>
    <w:p w14:paraId="383C3F54" w14:textId="6A5629A7" w:rsidR="003D4511" w:rsidRPr="00192B92" w:rsidRDefault="00A41005" w:rsidP="00192B92">
      <w:pPr>
        <w:shd w:val="clear" w:color="auto" w:fill="FFFFFF"/>
        <w:spacing w:after="225" w:line="276" w:lineRule="auto"/>
        <w:jc w:val="both"/>
        <w:rPr>
          <w:rFonts w:ascii="Arial" w:eastAsia="Times New Roman" w:hAnsi="Arial" w:cs="Arial"/>
          <w:color w:val="000000"/>
          <w:lang w:eastAsia="es-MX"/>
        </w:rPr>
      </w:pPr>
      <w:r w:rsidRPr="00192B92">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w:t>
      </w:r>
      <w:r w:rsidR="00E0729B" w:rsidRPr="00192B92">
        <w:rPr>
          <w:rFonts w:ascii="Arial" w:eastAsia="Times New Roman" w:hAnsi="Arial" w:cs="Arial"/>
          <w:color w:val="000000"/>
          <w:lang w:eastAsia="es-MX"/>
        </w:rPr>
        <w:t xml:space="preserve">los </w:t>
      </w:r>
      <w:r w:rsidR="00F056BC">
        <w:rPr>
          <w:rFonts w:ascii="Arial" w:eastAsia="Times New Roman" w:hAnsi="Arial" w:cs="Arial"/>
          <w:color w:val="000000"/>
          <w:lang w:eastAsia="es-MX"/>
        </w:rPr>
        <w:t>siete</w:t>
      </w:r>
      <w:r w:rsidR="00D72B44">
        <w:rPr>
          <w:rFonts w:ascii="Arial" w:eastAsia="Times New Roman" w:hAnsi="Arial" w:cs="Arial"/>
          <w:color w:val="000000"/>
          <w:lang w:eastAsia="es-MX"/>
        </w:rPr>
        <w:t xml:space="preserve"> </w:t>
      </w:r>
      <w:r w:rsidR="00E0729B" w:rsidRPr="00192B92">
        <w:rPr>
          <w:rFonts w:ascii="Arial" w:eastAsia="Times New Roman" w:hAnsi="Arial" w:cs="Arial"/>
          <w:color w:val="000000"/>
          <w:lang w:eastAsia="es-MX"/>
        </w:rPr>
        <w:t xml:space="preserve">días del mes de </w:t>
      </w:r>
      <w:r w:rsidR="00961C8E" w:rsidRPr="00192B92">
        <w:rPr>
          <w:rFonts w:ascii="Arial" w:eastAsia="Times New Roman" w:hAnsi="Arial" w:cs="Arial"/>
          <w:color w:val="000000"/>
          <w:lang w:eastAsia="es-MX"/>
        </w:rPr>
        <w:t>diciembre</w:t>
      </w:r>
      <w:r w:rsidRPr="00192B92">
        <w:rPr>
          <w:rFonts w:ascii="Arial" w:eastAsia="Times New Roman" w:hAnsi="Arial" w:cs="Arial"/>
          <w:color w:val="000000"/>
          <w:lang w:eastAsia="es-MX"/>
        </w:rPr>
        <w:t xml:space="preserve"> </w:t>
      </w:r>
      <w:r w:rsidR="00E0729B" w:rsidRPr="00192B92">
        <w:rPr>
          <w:rFonts w:ascii="Arial" w:eastAsia="Times New Roman" w:hAnsi="Arial" w:cs="Arial"/>
          <w:color w:val="000000"/>
          <w:lang w:eastAsia="es-MX"/>
        </w:rPr>
        <w:t>del año dos mil veintiuno</w:t>
      </w:r>
      <w:r w:rsidRPr="00192B92">
        <w:rPr>
          <w:rFonts w:ascii="Arial" w:eastAsia="Times New Roman" w:hAnsi="Arial" w:cs="Arial"/>
          <w:color w:val="000000"/>
          <w:lang w:eastAsia="es-MX"/>
        </w:rPr>
        <w:t>.</w:t>
      </w:r>
      <w:r w:rsidR="006B342C" w:rsidRPr="00192B92">
        <w:rPr>
          <w:rFonts w:ascii="Arial" w:eastAsia="Times New Roman" w:hAnsi="Arial" w:cs="Arial"/>
          <w:color w:val="000000"/>
          <w:lang w:eastAsia="es-MX"/>
        </w:rPr>
        <w:t xml:space="preserve"> Conste.</w:t>
      </w:r>
      <w:r w:rsidRPr="00192B92">
        <w:rPr>
          <w:rFonts w:ascii="Arial" w:eastAsia="Times New Roman" w:hAnsi="Arial" w:cs="Arial"/>
          <w:color w:val="000000"/>
          <w:lang w:eastAsia="es-MX"/>
        </w:rPr>
        <w:t xml:space="preserve"> </w:t>
      </w:r>
    </w:p>
    <w:tbl>
      <w:tblPr>
        <w:tblStyle w:val="Tablaconcuadrcula"/>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51"/>
        <w:gridCol w:w="4618"/>
        <w:gridCol w:w="57"/>
        <w:gridCol w:w="152"/>
      </w:tblGrid>
      <w:tr w:rsidR="00B23C3D" w:rsidRPr="00192B92" w14:paraId="122C7E76" w14:textId="77777777" w:rsidTr="003F6062">
        <w:trPr>
          <w:trHeight w:val="88"/>
        </w:trPr>
        <w:tc>
          <w:tcPr>
            <w:tcW w:w="9502" w:type="dxa"/>
            <w:gridSpan w:val="5"/>
          </w:tcPr>
          <w:p w14:paraId="1F02D757" w14:textId="77777777" w:rsidR="000A1FF1" w:rsidRPr="00192B92" w:rsidRDefault="000A1FF1" w:rsidP="00192B92">
            <w:pPr>
              <w:spacing w:line="276" w:lineRule="auto"/>
              <w:rPr>
                <w:rFonts w:ascii="Arial" w:eastAsia="Arial Unicode MS" w:hAnsi="Arial" w:cs="Arial"/>
                <w:b/>
              </w:rPr>
            </w:pPr>
          </w:p>
          <w:p w14:paraId="678CE007" w14:textId="77777777" w:rsidR="00021139" w:rsidRDefault="00021139" w:rsidP="00192B92">
            <w:pPr>
              <w:spacing w:line="276" w:lineRule="auto"/>
              <w:jc w:val="center"/>
              <w:rPr>
                <w:rFonts w:ascii="Arial" w:eastAsia="Arial Unicode MS" w:hAnsi="Arial" w:cs="Arial"/>
                <w:b/>
              </w:rPr>
            </w:pPr>
          </w:p>
          <w:p w14:paraId="6FFCDB9D" w14:textId="77777777" w:rsidR="00021139" w:rsidRDefault="00021139" w:rsidP="00192B92">
            <w:pPr>
              <w:spacing w:line="276" w:lineRule="auto"/>
              <w:jc w:val="center"/>
              <w:rPr>
                <w:rFonts w:ascii="Arial" w:eastAsia="Arial Unicode MS" w:hAnsi="Arial" w:cs="Arial"/>
                <w:b/>
              </w:rPr>
            </w:pPr>
          </w:p>
          <w:p w14:paraId="7E8367A7" w14:textId="227B51C6" w:rsidR="00B23C3D" w:rsidRPr="00192B92" w:rsidRDefault="00B23C3D" w:rsidP="00192B92">
            <w:pPr>
              <w:spacing w:line="276" w:lineRule="auto"/>
              <w:jc w:val="center"/>
              <w:rPr>
                <w:rFonts w:ascii="Arial" w:eastAsia="Arial Unicode MS" w:hAnsi="Arial" w:cs="Arial"/>
                <w:b/>
                <w:bCs/>
                <w:color w:val="212529"/>
                <w:shd w:val="clear" w:color="auto" w:fill="FFFFFF"/>
              </w:rPr>
            </w:pPr>
            <w:r w:rsidRPr="00192B92">
              <w:rPr>
                <w:rFonts w:ascii="Arial" w:eastAsia="Arial Unicode MS" w:hAnsi="Arial" w:cs="Arial"/>
                <w:b/>
              </w:rPr>
              <w:t xml:space="preserve">C. </w:t>
            </w:r>
            <w:r w:rsidRPr="00192B92">
              <w:rPr>
                <w:rFonts w:ascii="Arial" w:eastAsia="Arial Unicode MS" w:hAnsi="Arial" w:cs="Arial"/>
                <w:b/>
                <w:bCs/>
                <w:color w:val="212529"/>
                <w:shd w:val="clear" w:color="auto" w:fill="FFFFFF"/>
              </w:rPr>
              <w:t xml:space="preserve">  José Luis Echeverría Morales</w:t>
            </w:r>
          </w:p>
        </w:tc>
      </w:tr>
      <w:tr w:rsidR="00B23C3D" w:rsidRPr="00192B92" w14:paraId="1964F578" w14:textId="77777777" w:rsidTr="003F6062">
        <w:trPr>
          <w:trHeight w:val="15"/>
        </w:trPr>
        <w:tc>
          <w:tcPr>
            <w:tcW w:w="9502" w:type="dxa"/>
            <w:gridSpan w:val="5"/>
          </w:tcPr>
          <w:p w14:paraId="1DF4E3A9" w14:textId="77777777" w:rsidR="00B23C3D" w:rsidRPr="00192B92" w:rsidRDefault="00B23C3D" w:rsidP="00192B92">
            <w:pPr>
              <w:spacing w:line="276" w:lineRule="auto"/>
              <w:jc w:val="center"/>
              <w:rPr>
                <w:rFonts w:ascii="Arial" w:eastAsia="Arial Unicode MS" w:hAnsi="Arial" w:cs="Arial"/>
              </w:rPr>
            </w:pPr>
            <w:r w:rsidRPr="00192B92">
              <w:rPr>
                <w:rFonts w:ascii="Arial" w:eastAsia="Arial Unicode MS" w:hAnsi="Arial" w:cs="Arial"/>
              </w:rPr>
              <w:t xml:space="preserve">Comisionado </w:t>
            </w:r>
            <w:proofErr w:type="gramStart"/>
            <w:r w:rsidRPr="00192B92">
              <w:rPr>
                <w:rFonts w:ascii="Arial" w:eastAsia="Arial Unicode MS" w:hAnsi="Arial" w:cs="Arial"/>
              </w:rPr>
              <w:t>Presidente</w:t>
            </w:r>
            <w:proofErr w:type="gramEnd"/>
          </w:p>
          <w:p w14:paraId="4C8B90FE" w14:textId="77777777" w:rsidR="003D4511" w:rsidRPr="00192B92" w:rsidRDefault="003D4511" w:rsidP="00192B92">
            <w:pPr>
              <w:spacing w:line="276" w:lineRule="auto"/>
              <w:jc w:val="center"/>
              <w:rPr>
                <w:rFonts w:ascii="Arial" w:eastAsia="Arial Unicode MS" w:hAnsi="Arial" w:cs="Arial"/>
              </w:rPr>
            </w:pPr>
          </w:p>
          <w:p w14:paraId="4FFC3408" w14:textId="4B7465CC" w:rsidR="003D4511" w:rsidRPr="00192B92" w:rsidRDefault="003D4511" w:rsidP="00192B92">
            <w:pPr>
              <w:spacing w:line="276" w:lineRule="auto"/>
              <w:jc w:val="center"/>
              <w:rPr>
                <w:rFonts w:ascii="Arial" w:eastAsia="Arial Unicode MS" w:hAnsi="Arial" w:cs="Arial"/>
              </w:rPr>
            </w:pPr>
          </w:p>
        </w:tc>
      </w:tr>
      <w:tr w:rsidR="00203982" w:rsidRPr="00192B92" w14:paraId="6CC02BAF" w14:textId="77777777" w:rsidTr="003F6062">
        <w:trPr>
          <w:trHeight w:val="15"/>
        </w:trPr>
        <w:tc>
          <w:tcPr>
            <w:tcW w:w="9502" w:type="dxa"/>
            <w:gridSpan w:val="5"/>
          </w:tcPr>
          <w:p w14:paraId="20515F42" w14:textId="77777777" w:rsidR="00203982" w:rsidRPr="00192B92" w:rsidRDefault="00203982" w:rsidP="00192B92">
            <w:pPr>
              <w:spacing w:line="276" w:lineRule="auto"/>
              <w:jc w:val="center"/>
              <w:rPr>
                <w:rFonts w:ascii="Arial" w:eastAsia="Arial Unicode MS" w:hAnsi="Arial" w:cs="Arial"/>
              </w:rPr>
            </w:pPr>
          </w:p>
        </w:tc>
      </w:tr>
      <w:tr w:rsidR="00203982" w:rsidRPr="00192B92" w14:paraId="3EC46E81" w14:textId="77777777" w:rsidTr="003F6062">
        <w:trPr>
          <w:trHeight w:val="15"/>
        </w:trPr>
        <w:tc>
          <w:tcPr>
            <w:tcW w:w="9502" w:type="dxa"/>
            <w:gridSpan w:val="5"/>
          </w:tcPr>
          <w:p w14:paraId="200018CF" w14:textId="77777777" w:rsidR="00203982" w:rsidRPr="00192B92" w:rsidRDefault="00203982" w:rsidP="00192B92">
            <w:pPr>
              <w:spacing w:line="276" w:lineRule="auto"/>
              <w:jc w:val="center"/>
              <w:rPr>
                <w:rFonts w:ascii="Arial" w:eastAsia="Arial Unicode MS" w:hAnsi="Arial" w:cs="Arial"/>
              </w:rPr>
            </w:pPr>
          </w:p>
        </w:tc>
      </w:tr>
      <w:tr w:rsidR="00203982" w:rsidRPr="00192B92" w14:paraId="22FC811A" w14:textId="77777777" w:rsidTr="003F6062">
        <w:trPr>
          <w:trHeight w:val="15"/>
        </w:trPr>
        <w:tc>
          <w:tcPr>
            <w:tcW w:w="9502" w:type="dxa"/>
            <w:gridSpan w:val="5"/>
          </w:tcPr>
          <w:p w14:paraId="1959BEE1" w14:textId="77777777" w:rsidR="00203982" w:rsidRPr="00192B92" w:rsidRDefault="00203982" w:rsidP="00192B92">
            <w:pPr>
              <w:spacing w:line="276" w:lineRule="auto"/>
              <w:jc w:val="center"/>
              <w:rPr>
                <w:rFonts w:ascii="Arial" w:eastAsia="Arial Unicode MS" w:hAnsi="Arial" w:cs="Arial"/>
              </w:rPr>
            </w:pPr>
          </w:p>
        </w:tc>
      </w:tr>
      <w:tr w:rsidR="00B23C3D" w:rsidRPr="00192B92" w14:paraId="238A4AE5" w14:textId="0E133C70" w:rsidTr="003F6062">
        <w:trPr>
          <w:gridAfter w:val="2"/>
          <w:wAfter w:w="209" w:type="dxa"/>
          <w:trHeight w:val="12"/>
        </w:trPr>
        <w:tc>
          <w:tcPr>
            <w:tcW w:w="4224" w:type="dxa"/>
          </w:tcPr>
          <w:p w14:paraId="6C90BDFC" w14:textId="77777777" w:rsidR="00B23C3D" w:rsidRPr="00192B92" w:rsidRDefault="00B23C3D" w:rsidP="00192B92">
            <w:pPr>
              <w:spacing w:line="276" w:lineRule="auto"/>
              <w:ind w:right="-374"/>
              <w:jc w:val="center"/>
              <w:rPr>
                <w:rFonts w:ascii="Arial" w:eastAsia="Arial Unicode MS" w:hAnsi="Arial" w:cs="Arial"/>
                <w:b/>
                <w:bCs/>
                <w:color w:val="212529"/>
                <w:shd w:val="clear" w:color="auto" w:fill="FFFFFF"/>
              </w:rPr>
            </w:pPr>
            <w:r w:rsidRPr="00192B92">
              <w:rPr>
                <w:rFonts w:ascii="Arial" w:eastAsia="Arial Unicode MS" w:hAnsi="Arial" w:cs="Arial"/>
                <w:b/>
              </w:rPr>
              <w:t xml:space="preserve">C. </w:t>
            </w:r>
            <w:r w:rsidRPr="00192B92">
              <w:rPr>
                <w:rFonts w:ascii="Arial" w:eastAsia="Arial Unicode MS" w:hAnsi="Arial" w:cs="Arial"/>
                <w:b/>
                <w:bCs/>
                <w:color w:val="212529"/>
                <w:shd w:val="clear" w:color="auto" w:fill="FFFFFF"/>
              </w:rPr>
              <w:t>Claudia Ivette Soto Pineda</w:t>
            </w:r>
          </w:p>
          <w:p w14:paraId="09191D6B" w14:textId="0B1981AF" w:rsidR="00BF328F" w:rsidRPr="00192B92" w:rsidRDefault="00BF328F" w:rsidP="00192B92">
            <w:pPr>
              <w:spacing w:line="276" w:lineRule="auto"/>
              <w:ind w:right="-374"/>
              <w:jc w:val="center"/>
              <w:rPr>
                <w:rFonts w:ascii="Arial" w:eastAsia="Arial Unicode MS" w:hAnsi="Arial" w:cs="Arial"/>
                <w:b/>
                <w:bCs/>
                <w:color w:val="212529"/>
                <w:shd w:val="clear" w:color="auto" w:fill="FFFFFF"/>
              </w:rPr>
            </w:pPr>
          </w:p>
        </w:tc>
        <w:tc>
          <w:tcPr>
            <w:tcW w:w="5069" w:type="dxa"/>
            <w:gridSpan w:val="2"/>
          </w:tcPr>
          <w:p w14:paraId="13025E92" w14:textId="1FDAD877" w:rsidR="00B23C3D" w:rsidRPr="00192B92" w:rsidRDefault="007C5030" w:rsidP="00192B92">
            <w:pPr>
              <w:spacing w:line="276" w:lineRule="auto"/>
              <w:ind w:left="618" w:right="-374"/>
              <w:jc w:val="center"/>
              <w:rPr>
                <w:rFonts w:ascii="Arial" w:eastAsia="Arial Unicode MS" w:hAnsi="Arial" w:cs="Arial"/>
                <w:b/>
                <w:bCs/>
                <w:color w:val="212529"/>
                <w:shd w:val="clear" w:color="auto" w:fill="FFFFFF"/>
              </w:rPr>
            </w:pPr>
            <w:r w:rsidRPr="00192B92">
              <w:rPr>
                <w:rFonts w:ascii="Arial" w:eastAsia="Arial Unicode MS" w:hAnsi="Arial" w:cs="Arial"/>
                <w:b/>
              </w:rPr>
              <w:t xml:space="preserve"> </w:t>
            </w:r>
            <w:r w:rsidR="00B23C3D" w:rsidRPr="00192B92">
              <w:rPr>
                <w:rFonts w:ascii="Arial" w:eastAsia="Arial Unicode MS" w:hAnsi="Arial" w:cs="Arial"/>
                <w:b/>
              </w:rPr>
              <w:t xml:space="preserve">C. </w:t>
            </w:r>
            <w:r w:rsidR="00B23C3D" w:rsidRPr="00192B92">
              <w:rPr>
                <w:rFonts w:ascii="Arial" w:eastAsia="Arial Unicode MS" w:hAnsi="Arial" w:cs="Arial"/>
                <w:b/>
                <w:bCs/>
                <w:color w:val="212529"/>
                <w:shd w:val="clear" w:color="auto" w:fill="FFFFFF"/>
              </w:rPr>
              <w:t>María Tanivet Ramos Reyes</w:t>
            </w:r>
          </w:p>
        </w:tc>
      </w:tr>
      <w:tr w:rsidR="00B23C3D" w:rsidRPr="00192B92" w14:paraId="2D5950AA" w14:textId="6779E528" w:rsidTr="003F6062">
        <w:trPr>
          <w:gridAfter w:val="2"/>
          <w:wAfter w:w="209" w:type="dxa"/>
          <w:trHeight w:val="7"/>
        </w:trPr>
        <w:tc>
          <w:tcPr>
            <w:tcW w:w="4224" w:type="dxa"/>
          </w:tcPr>
          <w:p w14:paraId="429B7431" w14:textId="2DCD351C" w:rsidR="00B23C3D" w:rsidRPr="00192B92" w:rsidRDefault="00B23C3D" w:rsidP="00192B92">
            <w:pPr>
              <w:spacing w:line="276" w:lineRule="auto"/>
              <w:ind w:right="-138"/>
              <w:jc w:val="center"/>
              <w:rPr>
                <w:rFonts w:ascii="Arial" w:eastAsia="Arial Unicode MS" w:hAnsi="Arial" w:cs="Arial"/>
              </w:rPr>
            </w:pPr>
            <w:r w:rsidRPr="00192B92">
              <w:rPr>
                <w:rFonts w:ascii="Arial" w:eastAsia="Arial Unicode MS" w:hAnsi="Arial" w:cs="Arial"/>
              </w:rPr>
              <w:t>Comisionada</w:t>
            </w:r>
            <w:r w:rsidR="00A86CDF" w:rsidRPr="00192B92">
              <w:rPr>
                <w:rFonts w:ascii="Arial" w:eastAsia="Arial Unicode MS" w:hAnsi="Arial" w:cs="Arial"/>
              </w:rPr>
              <w:t xml:space="preserve"> </w:t>
            </w:r>
          </w:p>
          <w:p w14:paraId="5C1383E0" w14:textId="77777777" w:rsidR="00B23C3D" w:rsidRPr="00192B92" w:rsidRDefault="00B23C3D" w:rsidP="00192B92">
            <w:pPr>
              <w:spacing w:line="276" w:lineRule="auto"/>
              <w:ind w:right="-374"/>
              <w:jc w:val="center"/>
              <w:rPr>
                <w:rFonts w:ascii="Arial" w:eastAsia="Arial Unicode MS" w:hAnsi="Arial" w:cs="Arial"/>
              </w:rPr>
            </w:pPr>
          </w:p>
          <w:p w14:paraId="53381779" w14:textId="7A395554" w:rsidR="003D4511" w:rsidRPr="00192B92" w:rsidRDefault="003D4511" w:rsidP="00192B92">
            <w:pPr>
              <w:spacing w:line="276" w:lineRule="auto"/>
              <w:ind w:right="-374"/>
              <w:jc w:val="center"/>
              <w:rPr>
                <w:rFonts w:ascii="Arial" w:eastAsia="Arial Unicode MS" w:hAnsi="Arial" w:cs="Arial"/>
              </w:rPr>
            </w:pPr>
          </w:p>
          <w:p w14:paraId="048B7BFE" w14:textId="76207824" w:rsidR="003C7A04" w:rsidRPr="00192B92" w:rsidRDefault="003C7A04" w:rsidP="00192B92">
            <w:pPr>
              <w:spacing w:line="276" w:lineRule="auto"/>
              <w:ind w:right="-374"/>
              <w:jc w:val="center"/>
              <w:rPr>
                <w:rFonts w:ascii="Arial" w:eastAsia="Arial Unicode MS" w:hAnsi="Arial" w:cs="Arial"/>
              </w:rPr>
            </w:pPr>
          </w:p>
          <w:p w14:paraId="76EB63F3" w14:textId="77777777" w:rsidR="003D4511" w:rsidRPr="00192B92" w:rsidRDefault="003D4511" w:rsidP="00192B92">
            <w:pPr>
              <w:spacing w:line="276" w:lineRule="auto"/>
              <w:ind w:right="-374"/>
              <w:rPr>
                <w:rFonts w:ascii="Arial" w:eastAsia="Arial Unicode MS" w:hAnsi="Arial" w:cs="Arial"/>
              </w:rPr>
            </w:pPr>
          </w:p>
          <w:p w14:paraId="0B67EF70" w14:textId="429C07FE" w:rsidR="003C7A04" w:rsidRPr="00192B92" w:rsidRDefault="003C7A04" w:rsidP="00192B92">
            <w:pPr>
              <w:spacing w:line="276" w:lineRule="auto"/>
              <w:ind w:right="-374"/>
              <w:jc w:val="center"/>
              <w:rPr>
                <w:rFonts w:ascii="Arial" w:eastAsia="Arial Unicode MS" w:hAnsi="Arial" w:cs="Arial"/>
              </w:rPr>
            </w:pPr>
          </w:p>
        </w:tc>
        <w:tc>
          <w:tcPr>
            <w:tcW w:w="5069" w:type="dxa"/>
            <w:gridSpan w:val="2"/>
          </w:tcPr>
          <w:p w14:paraId="4A59210C" w14:textId="347B3ACE" w:rsidR="00B23C3D" w:rsidRPr="00192B92" w:rsidRDefault="00B23C3D" w:rsidP="00192B92">
            <w:pPr>
              <w:spacing w:line="276" w:lineRule="auto"/>
              <w:ind w:left="618" w:right="-374"/>
              <w:jc w:val="center"/>
              <w:rPr>
                <w:rFonts w:ascii="Arial" w:eastAsia="Arial Unicode MS" w:hAnsi="Arial" w:cs="Arial"/>
              </w:rPr>
            </w:pPr>
            <w:r w:rsidRPr="00192B92">
              <w:rPr>
                <w:rFonts w:ascii="Arial" w:eastAsia="Arial Unicode MS" w:hAnsi="Arial" w:cs="Arial"/>
              </w:rPr>
              <w:lastRenderedPageBreak/>
              <w:t>Comisionada</w:t>
            </w:r>
            <w:r w:rsidR="00A86CDF" w:rsidRPr="00192B92">
              <w:rPr>
                <w:rFonts w:ascii="Arial" w:eastAsia="Arial Unicode MS" w:hAnsi="Arial" w:cs="Arial"/>
              </w:rPr>
              <w:t xml:space="preserve"> </w:t>
            </w:r>
          </w:p>
        </w:tc>
      </w:tr>
      <w:tr w:rsidR="00B23C3D" w:rsidRPr="00192B92" w14:paraId="4D2E4521" w14:textId="57817EF5" w:rsidTr="003F6062">
        <w:trPr>
          <w:gridAfter w:val="1"/>
          <w:wAfter w:w="152" w:type="dxa"/>
          <w:trHeight w:val="47"/>
        </w:trPr>
        <w:tc>
          <w:tcPr>
            <w:tcW w:w="4675" w:type="dxa"/>
            <w:gridSpan w:val="2"/>
          </w:tcPr>
          <w:p w14:paraId="78B82C6C" w14:textId="77777777" w:rsidR="002C1EAD" w:rsidRDefault="002C1EAD" w:rsidP="00192B92">
            <w:pPr>
              <w:spacing w:line="276" w:lineRule="auto"/>
              <w:ind w:right="145"/>
              <w:jc w:val="center"/>
              <w:rPr>
                <w:rFonts w:ascii="Arial" w:eastAsia="Arial Unicode MS" w:hAnsi="Arial" w:cs="Arial"/>
                <w:b/>
              </w:rPr>
            </w:pPr>
          </w:p>
          <w:p w14:paraId="50D0E310" w14:textId="77777777" w:rsidR="002C1EAD" w:rsidRDefault="002C1EAD" w:rsidP="00192B92">
            <w:pPr>
              <w:spacing w:line="276" w:lineRule="auto"/>
              <w:ind w:right="145"/>
              <w:jc w:val="center"/>
              <w:rPr>
                <w:rFonts w:ascii="Arial" w:eastAsia="Arial Unicode MS" w:hAnsi="Arial" w:cs="Arial"/>
                <w:b/>
              </w:rPr>
            </w:pPr>
          </w:p>
          <w:p w14:paraId="0F2D053A" w14:textId="191D27AF" w:rsidR="00B23C3D" w:rsidRPr="00192B92" w:rsidRDefault="00B23C3D" w:rsidP="00192B92">
            <w:pPr>
              <w:spacing w:line="276" w:lineRule="auto"/>
              <w:ind w:right="145"/>
              <w:jc w:val="center"/>
              <w:rPr>
                <w:rFonts w:ascii="Arial" w:eastAsia="Arial Unicode MS" w:hAnsi="Arial" w:cs="Arial"/>
                <w:b/>
                <w:bCs/>
                <w:color w:val="212529"/>
                <w:shd w:val="clear" w:color="auto" w:fill="FFFFFF"/>
              </w:rPr>
            </w:pPr>
            <w:r w:rsidRPr="00192B92">
              <w:rPr>
                <w:rFonts w:ascii="Arial" w:eastAsia="Arial Unicode MS" w:hAnsi="Arial" w:cs="Arial"/>
                <w:b/>
              </w:rPr>
              <w:t xml:space="preserve">C. </w:t>
            </w:r>
            <w:r w:rsidRPr="00192B92">
              <w:rPr>
                <w:rFonts w:ascii="Arial" w:eastAsia="Arial Unicode MS" w:hAnsi="Arial" w:cs="Arial"/>
                <w:b/>
                <w:bCs/>
                <w:color w:val="212529"/>
                <w:shd w:val="clear" w:color="auto" w:fill="FFFFFF"/>
              </w:rPr>
              <w:t xml:space="preserve">Xóchitl Elizabeth Méndez </w:t>
            </w:r>
            <w:r w:rsidR="003F6062" w:rsidRPr="00192B92">
              <w:rPr>
                <w:rFonts w:ascii="Arial" w:eastAsia="Arial Unicode MS" w:hAnsi="Arial" w:cs="Arial"/>
                <w:b/>
                <w:bCs/>
                <w:color w:val="212529"/>
                <w:shd w:val="clear" w:color="auto" w:fill="FFFFFF"/>
              </w:rPr>
              <w:t>Sánchez</w:t>
            </w:r>
          </w:p>
        </w:tc>
        <w:tc>
          <w:tcPr>
            <w:tcW w:w="4675" w:type="dxa"/>
            <w:gridSpan w:val="2"/>
          </w:tcPr>
          <w:p w14:paraId="5B7B1F74" w14:textId="77777777" w:rsidR="002C1EAD" w:rsidRDefault="002C1EAD" w:rsidP="00192B92">
            <w:pPr>
              <w:spacing w:line="276" w:lineRule="auto"/>
              <w:ind w:left="216"/>
              <w:jc w:val="center"/>
              <w:rPr>
                <w:rFonts w:ascii="Arial" w:eastAsia="Arial Unicode MS" w:hAnsi="Arial" w:cs="Arial"/>
                <w:b/>
              </w:rPr>
            </w:pPr>
          </w:p>
          <w:p w14:paraId="3F436C91" w14:textId="77777777" w:rsidR="002C1EAD" w:rsidRDefault="002C1EAD" w:rsidP="00192B92">
            <w:pPr>
              <w:spacing w:line="276" w:lineRule="auto"/>
              <w:ind w:left="216"/>
              <w:jc w:val="center"/>
              <w:rPr>
                <w:rFonts w:ascii="Arial" w:eastAsia="Arial Unicode MS" w:hAnsi="Arial" w:cs="Arial"/>
                <w:b/>
              </w:rPr>
            </w:pPr>
          </w:p>
          <w:p w14:paraId="1DF05EB6" w14:textId="78A3CEDA" w:rsidR="00B23C3D" w:rsidRPr="00192B92" w:rsidRDefault="00B23C3D" w:rsidP="00192B92">
            <w:pPr>
              <w:spacing w:line="276" w:lineRule="auto"/>
              <w:ind w:left="216"/>
              <w:jc w:val="center"/>
              <w:rPr>
                <w:rFonts w:ascii="Arial" w:eastAsia="Arial Unicode MS" w:hAnsi="Arial" w:cs="Arial"/>
                <w:b/>
                <w:bCs/>
                <w:color w:val="212529"/>
                <w:shd w:val="clear" w:color="auto" w:fill="FFFFFF"/>
              </w:rPr>
            </w:pPr>
            <w:r w:rsidRPr="00192B92">
              <w:rPr>
                <w:rFonts w:ascii="Arial" w:eastAsia="Arial Unicode MS" w:hAnsi="Arial" w:cs="Arial"/>
                <w:b/>
              </w:rPr>
              <w:t xml:space="preserve">C. </w:t>
            </w:r>
            <w:r w:rsidRPr="00192B92">
              <w:rPr>
                <w:rFonts w:ascii="Arial" w:eastAsia="Arial Unicode MS" w:hAnsi="Arial" w:cs="Arial"/>
                <w:b/>
                <w:bCs/>
              </w:rPr>
              <w:t>Josué Solana Salmorán</w:t>
            </w:r>
          </w:p>
        </w:tc>
      </w:tr>
      <w:tr w:rsidR="00B23C3D" w:rsidRPr="00192B92" w14:paraId="554EFD0D" w14:textId="05AFA2FE" w:rsidTr="003F6062">
        <w:trPr>
          <w:gridAfter w:val="1"/>
          <w:wAfter w:w="152" w:type="dxa"/>
          <w:trHeight w:val="34"/>
        </w:trPr>
        <w:tc>
          <w:tcPr>
            <w:tcW w:w="4675" w:type="dxa"/>
            <w:gridSpan w:val="2"/>
          </w:tcPr>
          <w:p w14:paraId="422832D7" w14:textId="56B056B8" w:rsidR="00B23C3D" w:rsidRPr="00192B92" w:rsidRDefault="00B23C3D" w:rsidP="00192B92">
            <w:pPr>
              <w:spacing w:line="276" w:lineRule="auto"/>
              <w:jc w:val="center"/>
              <w:rPr>
                <w:rFonts w:ascii="Arial" w:eastAsia="Arial Unicode MS" w:hAnsi="Arial" w:cs="Arial"/>
              </w:rPr>
            </w:pPr>
            <w:r w:rsidRPr="00192B92">
              <w:rPr>
                <w:rFonts w:ascii="Arial" w:eastAsia="Arial Unicode MS" w:hAnsi="Arial" w:cs="Arial"/>
              </w:rPr>
              <w:t>Comisionada</w:t>
            </w:r>
            <w:r w:rsidR="00A86CDF" w:rsidRPr="00192B92">
              <w:rPr>
                <w:rFonts w:ascii="Arial" w:eastAsia="Arial Unicode MS" w:hAnsi="Arial" w:cs="Arial"/>
              </w:rPr>
              <w:t xml:space="preserve"> </w:t>
            </w:r>
          </w:p>
          <w:p w14:paraId="031EF2A3" w14:textId="17841BB8" w:rsidR="00B23C3D" w:rsidRPr="00192B92" w:rsidRDefault="00B23C3D" w:rsidP="00192B92">
            <w:pPr>
              <w:spacing w:line="276" w:lineRule="auto"/>
              <w:jc w:val="center"/>
              <w:rPr>
                <w:rFonts w:ascii="Arial" w:eastAsia="Arial Unicode MS" w:hAnsi="Arial" w:cs="Arial"/>
              </w:rPr>
            </w:pPr>
          </w:p>
        </w:tc>
        <w:tc>
          <w:tcPr>
            <w:tcW w:w="4675" w:type="dxa"/>
            <w:gridSpan w:val="2"/>
          </w:tcPr>
          <w:p w14:paraId="3E0C931C" w14:textId="02CB9218" w:rsidR="00B23C3D" w:rsidRPr="00192B92" w:rsidRDefault="00B23C3D" w:rsidP="00192B92">
            <w:pPr>
              <w:spacing w:line="276" w:lineRule="auto"/>
              <w:jc w:val="center"/>
              <w:rPr>
                <w:rFonts w:ascii="Arial" w:eastAsia="Arial Unicode MS" w:hAnsi="Arial" w:cs="Arial"/>
              </w:rPr>
            </w:pPr>
            <w:r w:rsidRPr="00192B92">
              <w:rPr>
                <w:rFonts w:ascii="Arial" w:eastAsia="Arial Unicode MS" w:hAnsi="Arial" w:cs="Arial"/>
              </w:rPr>
              <w:t>Comisionado</w:t>
            </w:r>
            <w:r w:rsidR="00A86CDF" w:rsidRPr="00192B92">
              <w:rPr>
                <w:rFonts w:ascii="Arial" w:eastAsia="Arial Unicode MS" w:hAnsi="Arial" w:cs="Arial"/>
              </w:rPr>
              <w:t xml:space="preserve"> </w:t>
            </w:r>
          </w:p>
        </w:tc>
      </w:tr>
    </w:tbl>
    <w:p w14:paraId="0E308018" w14:textId="77777777" w:rsidR="00B23C3D" w:rsidRPr="00192B92" w:rsidRDefault="00B23C3D" w:rsidP="00192B92">
      <w:pPr>
        <w:spacing w:line="276" w:lineRule="auto"/>
        <w:jc w:val="center"/>
        <w:rPr>
          <w:rFonts w:ascii="Arial" w:eastAsia="Arial Unicode MS" w:hAnsi="Arial" w:cs="Arial"/>
          <w:color w:val="212529"/>
          <w:shd w:val="clear" w:color="auto" w:fill="FFFFFF"/>
        </w:rPr>
      </w:pPr>
    </w:p>
    <w:p w14:paraId="6C52548C" w14:textId="3F6668D3" w:rsidR="007C5030" w:rsidRPr="00192B92" w:rsidRDefault="007C5030" w:rsidP="00192B92">
      <w:pPr>
        <w:spacing w:line="276" w:lineRule="auto"/>
        <w:jc w:val="center"/>
        <w:rPr>
          <w:rFonts w:ascii="Arial" w:eastAsia="Arial Unicode MS" w:hAnsi="Arial" w:cs="Arial"/>
          <w:b/>
        </w:rPr>
      </w:pPr>
    </w:p>
    <w:p w14:paraId="56D030C1" w14:textId="77777777" w:rsidR="003C7A04" w:rsidRPr="00192B92" w:rsidRDefault="003C7A04" w:rsidP="00192B92">
      <w:pPr>
        <w:spacing w:line="276" w:lineRule="auto"/>
        <w:jc w:val="center"/>
        <w:rPr>
          <w:rFonts w:ascii="Arial" w:eastAsia="Arial Unicode MS" w:hAnsi="Arial" w:cs="Arial"/>
          <w:b/>
        </w:rPr>
      </w:pPr>
    </w:p>
    <w:p w14:paraId="62C43F6A" w14:textId="1DC1C138" w:rsidR="003C7A04" w:rsidRPr="00192B92" w:rsidRDefault="003C7A04" w:rsidP="00192B92">
      <w:pPr>
        <w:spacing w:line="276" w:lineRule="auto"/>
        <w:jc w:val="center"/>
        <w:rPr>
          <w:rFonts w:ascii="Arial" w:eastAsia="Arial Unicode MS" w:hAnsi="Arial" w:cs="Arial"/>
          <w:b/>
        </w:rPr>
      </w:pPr>
    </w:p>
    <w:p w14:paraId="2D1E308D" w14:textId="77777777" w:rsidR="003C7A04" w:rsidRPr="00192B92" w:rsidRDefault="003C7A04" w:rsidP="00192B92">
      <w:pPr>
        <w:spacing w:line="276" w:lineRule="auto"/>
        <w:jc w:val="center"/>
        <w:rPr>
          <w:rFonts w:ascii="Arial" w:eastAsia="Arial Unicode MS" w:hAnsi="Arial" w:cs="Arial"/>
          <w:b/>
        </w:rPr>
      </w:pPr>
    </w:p>
    <w:p w14:paraId="75AEC586" w14:textId="2E321090" w:rsidR="00B23C3D" w:rsidRPr="00192B92" w:rsidRDefault="00B23C3D" w:rsidP="00192B92">
      <w:pPr>
        <w:spacing w:line="276" w:lineRule="auto"/>
        <w:jc w:val="center"/>
        <w:rPr>
          <w:rFonts w:ascii="Arial" w:eastAsia="Arial Unicode MS" w:hAnsi="Arial" w:cs="Arial"/>
          <w:b/>
        </w:rPr>
      </w:pPr>
      <w:r w:rsidRPr="00192B92">
        <w:rPr>
          <w:rFonts w:ascii="Arial" w:eastAsia="Arial Unicode MS" w:hAnsi="Arial" w:cs="Arial"/>
          <w:b/>
        </w:rPr>
        <w:t>C. Luis Alberto Pavón Mercado</w:t>
      </w:r>
    </w:p>
    <w:p w14:paraId="4D21DCB8" w14:textId="584F3A32" w:rsidR="002A6993" w:rsidRDefault="00B23C3D" w:rsidP="00021139">
      <w:pPr>
        <w:spacing w:line="276" w:lineRule="auto"/>
        <w:jc w:val="center"/>
        <w:rPr>
          <w:rFonts w:ascii="Arial" w:eastAsia="Arial Unicode MS" w:hAnsi="Arial" w:cs="Arial"/>
        </w:rPr>
      </w:pPr>
      <w:r w:rsidRPr="00192B92">
        <w:rPr>
          <w:rFonts w:ascii="Arial" w:eastAsia="Arial Unicode MS" w:hAnsi="Arial" w:cs="Arial"/>
        </w:rPr>
        <w:t>Secretario General de Acuerdos</w:t>
      </w:r>
    </w:p>
    <w:p w14:paraId="72786CC6" w14:textId="10F1D541" w:rsidR="002C1EAD" w:rsidRDefault="002C1EAD" w:rsidP="00021139">
      <w:pPr>
        <w:spacing w:line="276" w:lineRule="auto"/>
        <w:jc w:val="center"/>
        <w:rPr>
          <w:rFonts w:ascii="Arial" w:eastAsia="Arial Unicode MS" w:hAnsi="Arial" w:cs="Arial"/>
        </w:rPr>
      </w:pPr>
    </w:p>
    <w:p w14:paraId="288ED2B1" w14:textId="5DE2AE0A" w:rsidR="002C1EAD" w:rsidRDefault="002C1EAD" w:rsidP="00021139">
      <w:pPr>
        <w:spacing w:line="276" w:lineRule="auto"/>
        <w:jc w:val="center"/>
        <w:rPr>
          <w:rFonts w:ascii="Arial" w:eastAsia="Arial Unicode MS" w:hAnsi="Arial" w:cs="Arial"/>
        </w:rPr>
      </w:pPr>
    </w:p>
    <w:p w14:paraId="5C3BA221" w14:textId="5E9DC738" w:rsidR="002C1EAD" w:rsidRDefault="002C1EAD" w:rsidP="00021139">
      <w:pPr>
        <w:spacing w:line="276" w:lineRule="auto"/>
        <w:jc w:val="center"/>
        <w:rPr>
          <w:rFonts w:ascii="Arial" w:eastAsia="Arial Unicode MS" w:hAnsi="Arial" w:cs="Arial"/>
        </w:rPr>
      </w:pPr>
    </w:p>
    <w:p w14:paraId="65F09671" w14:textId="77777777" w:rsidR="002C1EAD" w:rsidRDefault="002C1EAD" w:rsidP="00021139">
      <w:pPr>
        <w:spacing w:line="276" w:lineRule="auto"/>
        <w:jc w:val="center"/>
        <w:rPr>
          <w:rFonts w:ascii="Arial" w:eastAsia="Arial Unicode MS" w:hAnsi="Arial" w:cs="Arial"/>
        </w:rPr>
      </w:pPr>
    </w:p>
    <w:p w14:paraId="0C70CFAD" w14:textId="32CBA24A" w:rsidR="002C1EAD" w:rsidRPr="002C1EAD" w:rsidRDefault="002C1EAD" w:rsidP="002C1EAD">
      <w:pPr>
        <w:spacing w:line="276" w:lineRule="auto"/>
        <w:jc w:val="both"/>
        <w:rPr>
          <w:rFonts w:ascii="Arial" w:eastAsia="Arial Unicode MS" w:hAnsi="Arial" w:cs="Arial"/>
          <w:b/>
          <w:bCs/>
          <w:sz w:val="20"/>
          <w:szCs w:val="20"/>
        </w:rPr>
      </w:pPr>
      <w:r w:rsidRPr="002C1EAD">
        <w:rPr>
          <w:rFonts w:ascii="Arial" w:eastAsia="Arial Unicode MS" w:hAnsi="Arial" w:cs="Arial"/>
          <w:b/>
          <w:bCs/>
          <w:sz w:val="20"/>
          <w:szCs w:val="20"/>
        </w:rPr>
        <w:t>LAS PRESENTE</w:t>
      </w:r>
      <w:r w:rsidR="00CD62EF">
        <w:rPr>
          <w:rFonts w:ascii="Arial" w:eastAsia="Arial Unicode MS" w:hAnsi="Arial" w:cs="Arial"/>
          <w:b/>
          <w:bCs/>
          <w:sz w:val="20"/>
          <w:szCs w:val="20"/>
        </w:rPr>
        <w:t>S</w:t>
      </w:r>
      <w:r w:rsidRPr="002C1EAD">
        <w:rPr>
          <w:rFonts w:ascii="Arial" w:eastAsia="Arial Unicode MS" w:hAnsi="Arial" w:cs="Arial"/>
          <w:b/>
          <w:bCs/>
          <w:sz w:val="20"/>
          <w:szCs w:val="20"/>
        </w:rPr>
        <w:t xml:space="preserve"> FIRMA</w:t>
      </w:r>
      <w:r w:rsidR="00CD62EF">
        <w:rPr>
          <w:rFonts w:ascii="Arial" w:eastAsia="Arial Unicode MS" w:hAnsi="Arial" w:cs="Arial"/>
          <w:b/>
          <w:bCs/>
          <w:sz w:val="20"/>
          <w:szCs w:val="20"/>
        </w:rPr>
        <w:t>S</w:t>
      </w:r>
      <w:r w:rsidRPr="002C1EAD">
        <w:rPr>
          <w:rFonts w:ascii="Arial" w:eastAsia="Arial Unicode MS" w:hAnsi="Arial" w:cs="Arial"/>
          <w:b/>
          <w:bCs/>
          <w:sz w:val="20"/>
          <w:szCs w:val="20"/>
        </w:rPr>
        <w:t xml:space="preserve"> PERTENENCEN AL ACUERDO NÚMERO </w:t>
      </w:r>
      <w:r w:rsidRPr="002C1EAD">
        <w:rPr>
          <w:rFonts w:ascii="Arial" w:eastAsia="Arial Unicode MS" w:hAnsi="Arial" w:cs="Arial"/>
          <w:b/>
          <w:sz w:val="20"/>
          <w:szCs w:val="20"/>
        </w:rPr>
        <w:t>OGAIPO/CG/0</w:t>
      </w:r>
      <w:r w:rsidR="00220898">
        <w:rPr>
          <w:rFonts w:ascii="Arial" w:eastAsia="Arial Unicode MS" w:hAnsi="Arial" w:cs="Arial"/>
          <w:b/>
          <w:sz w:val="20"/>
          <w:szCs w:val="20"/>
        </w:rPr>
        <w:t>20</w:t>
      </w:r>
      <w:r w:rsidRPr="002C1EAD">
        <w:rPr>
          <w:rFonts w:ascii="Arial" w:eastAsia="Arial Unicode MS" w:hAnsi="Arial" w:cs="Arial"/>
          <w:b/>
          <w:sz w:val="20"/>
          <w:szCs w:val="20"/>
        </w:rPr>
        <w:t xml:space="preserve">/2021 </w:t>
      </w:r>
      <w:r w:rsidRPr="002C1EAD">
        <w:rPr>
          <w:rFonts w:ascii="Arial" w:eastAsia="Arial Unicode MS" w:hAnsi="Arial" w:cs="Arial"/>
          <w:b/>
          <w:bCs/>
          <w:sz w:val="20"/>
          <w:szCs w:val="20"/>
        </w:rPr>
        <w:t>MEDIANTE EL CUAL EL CONSEJO GENERAL DEL ÓRGANO GARANTE DE ACCESO A LA INFORMACIÓN PÚBLICA, TRANSPARENCIA, PROTECCIÓN DE DATOS PERSONALES Y BUEN GOBIERNO DEL ESTADO DE OAXACA, AUTORIZA AL COMISIONADO PRESIDENTE PARA FIRMAR CONVENIO</w:t>
      </w:r>
      <w:r w:rsidR="00463520">
        <w:rPr>
          <w:rFonts w:ascii="Arial" w:eastAsia="Arial Unicode MS" w:hAnsi="Arial" w:cs="Arial"/>
          <w:b/>
          <w:bCs/>
          <w:sz w:val="20"/>
          <w:szCs w:val="20"/>
        </w:rPr>
        <w:t>S</w:t>
      </w:r>
      <w:r w:rsidRPr="002C1EAD">
        <w:rPr>
          <w:rFonts w:ascii="Arial" w:eastAsia="Arial Unicode MS" w:hAnsi="Arial" w:cs="Arial"/>
          <w:b/>
          <w:bCs/>
          <w:sz w:val="20"/>
          <w:szCs w:val="20"/>
        </w:rPr>
        <w:t xml:space="preserve"> A NOMBRE DE ESTE ÓRGANO GARANTE.</w:t>
      </w:r>
    </w:p>
    <w:p w14:paraId="436ECB0F" w14:textId="77777777" w:rsidR="002C1EAD" w:rsidRPr="00021139" w:rsidRDefault="002C1EAD" w:rsidP="00021139">
      <w:pPr>
        <w:spacing w:line="276" w:lineRule="auto"/>
        <w:jc w:val="center"/>
        <w:rPr>
          <w:rFonts w:ascii="Arial" w:eastAsia="Arial Unicode MS" w:hAnsi="Arial" w:cs="Arial"/>
        </w:rPr>
      </w:pPr>
    </w:p>
    <w:sectPr w:rsidR="002C1EAD" w:rsidRPr="00021139" w:rsidSect="002C1EAD">
      <w:headerReference w:type="default" r:id="rId8"/>
      <w:pgSz w:w="12242" w:h="20163" w:code="5"/>
      <w:pgMar w:top="2269" w:right="1701" w:bottom="1701"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CB8B" w14:textId="77777777" w:rsidR="009D739E" w:rsidRDefault="009D739E" w:rsidP="00505074">
      <w:r>
        <w:separator/>
      </w:r>
    </w:p>
  </w:endnote>
  <w:endnote w:type="continuationSeparator" w:id="0">
    <w:p w14:paraId="4C7599AA" w14:textId="77777777" w:rsidR="009D739E" w:rsidRDefault="009D739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8E3F" w14:textId="77777777" w:rsidR="009D739E" w:rsidRDefault="009D739E" w:rsidP="00505074">
      <w:r>
        <w:separator/>
      </w:r>
    </w:p>
  </w:footnote>
  <w:footnote w:type="continuationSeparator" w:id="0">
    <w:p w14:paraId="3B732801" w14:textId="77777777" w:rsidR="009D739E" w:rsidRDefault="009D739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9F019E8" w:rsidR="00DC65C4" w:rsidRDefault="00CC05E7">
    <w:pPr>
      <w:pStyle w:val="Encabezado"/>
    </w:pPr>
    <w:r>
      <w:rPr>
        <w:noProof/>
      </w:rPr>
      <w:drawing>
        <wp:anchor distT="0" distB="0" distL="114300" distR="114300" simplePos="0" relativeHeight="251675648" behindDoc="0" locked="0" layoutInCell="1" allowOverlap="1" wp14:anchorId="56B16637" wp14:editId="17EE47CF">
          <wp:simplePos x="0" y="0"/>
          <wp:positionH relativeFrom="column">
            <wp:posOffset>2715850</wp:posOffset>
          </wp:positionH>
          <wp:positionV relativeFrom="paragraph">
            <wp:posOffset>5147630</wp:posOffset>
          </wp:positionV>
          <wp:extent cx="6790677" cy="11317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F02"/>
    <w:multiLevelType w:val="hybridMultilevel"/>
    <w:tmpl w:val="B04E4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04B56"/>
    <w:multiLevelType w:val="hybridMultilevel"/>
    <w:tmpl w:val="EB42CC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E135E"/>
    <w:multiLevelType w:val="hybridMultilevel"/>
    <w:tmpl w:val="7CF2DA2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32365D5"/>
    <w:multiLevelType w:val="hybridMultilevel"/>
    <w:tmpl w:val="E10AF52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53F4731"/>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676D9"/>
    <w:multiLevelType w:val="hybridMultilevel"/>
    <w:tmpl w:val="881281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96471"/>
    <w:multiLevelType w:val="hybridMultilevel"/>
    <w:tmpl w:val="FAFC39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3154AE"/>
    <w:multiLevelType w:val="hybridMultilevel"/>
    <w:tmpl w:val="AE5EE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4545"/>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FE789A"/>
    <w:multiLevelType w:val="hybridMultilevel"/>
    <w:tmpl w:val="26CE05C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3FF15DB"/>
    <w:multiLevelType w:val="hybridMultilevel"/>
    <w:tmpl w:val="685AA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4B62DA"/>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F7D7D"/>
    <w:multiLevelType w:val="hybridMultilevel"/>
    <w:tmpl w:val="121067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73DC9"/>
    <w:multiLevelType w:val="hybridMultilevel"/>
    <w:tmpl w:val="15361DF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75440B4"/>
    <w:multiLevelType w:val="hybridMultilevel"/>
    <w:tmpl w:val="01B82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721FA6"/>
    <w:multiLevelType w:val="hybridMultilevel"/>
    <w:tmpl w:val="E50C7CF6"/>
    <w:lvl w:ilvl="0" w:tplc="7A5C8D4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5E6F6F"/>
    <w:multiLevelType w:val="hybridMultilevel"/>
    <w:tmpl w:val="9AB6C532"/>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15:restartNumberingAfterBreak="0">
    <w:nsid w:val="5E856606"/>
    <w:multiLevelType w:val="hybridMultilevel"/>
    <w:tmpl w:val="8146C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9307F6"/>
    <w:multiLevelType w:val="hybridMultilevel"/>
    <w:tmpl w:val="372058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4612BB"/>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A46B57"/>
    <w:multiLevelType w:val="hybridMultilevel"/>
    <w:tmpl w:val="514AF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753904"/>
    <w:multiLevelType w:val="hybridMultilevel"/>
    <w:tmpl w:val="170EE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1253CD"/>
    <w:multiLevelType w:val="hybridMultilevel"/>
    <w:tmpl w:val="1CB257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26BB3"/>
    <w:multiLevelType w:val="hybridMultilevel"/>
    <w:tmpl w:val="176CC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BE4DA2"/>
    <w:multiLevelType w:val="hybridMultilevel"/>
    <w:tmpl w:val="62DC0476"/>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6892CB8"/>
    <w:multiLevelType w:val="hybridMultilevel"/>
    <w:tmpl w:val="BAD04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0260F6"/>
    <w:multiLevelType w:val="hybridMultilevel"/>
    <w:tmpl w:val="F2CE4AC4"/>
    <w:lvl w:ilvl="0" w:tplc="D89EB4C0">
      <w:start w:val="1"/>
      <w:numFmt w:val="decimal"/>
      <w:lvlText w:val="%1."/>
      <w:lvlJc w:val="left"/>
      <w:pPr>
        <w:ind w:left="1065" w:hanging="705"/>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123DFA"/>
    <w:multiLevelType w:val="hybridMultilevel"/>
    <w:tmpl w:val="A6688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3B6C8D"/>
    <w:multiLevelType w:val="hybridMultilevel"/>
    <w:tmpl w:val="63BED1D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22"/>
  </w:num>
  <w:num w:numId="3">
    <w:abstractNumId w:val="12"/>
  </w:num>
  <w:num w:numId="4">
    <w:abstractNumId w:val="5"/>
  </w:num>
  <w:num w:numId="5">
    <w:abstractNumId w:val="23"/>
  </w:num>
  <w:num w:numId="6">
    <w:abstractNumId w:val="27"/>
  </w:num>
  <w:num w:numId="7">
    <w:abstractNumId w:val="19"/>
  </w:num>
  <w:num w:numId="8">
    <w:abstractNumId w:val="28"/>
  </w:num>
  <w:num w:numId="9">
    <w:abstractNumId w:val="25"/>
  </w:num>
  <w:num w:numId="10">
    <w:abstractNumId w:val="8"/>
  </w:num>
  <w:num w:numId="11">
    <w:abstractNumId w:val="18"/>
  </w:num>
  <w:num w:numId="12">
    <w:abstractNumId w:val="2"/>
  </w:num>
  <w:num w:numId="13">
    <w:abstractNumId w:val="6"/>
  </w:num>
  <w:num w:numId="14">
    <w:abstractNumId w:val="24"/>
  </w:num>
  <w:num w:numId="15">
    <w:abstractNumId w:val="29"/>
  </w:num>
  <w:num w:numId="16">
    <w:abstractNumId w:val="11"/>
  </w:num>
  <w:num w:numId="17">
    <w:abstractNumId w:val="20"/>
  </w:num>
  <w:num w:numId="18">
    <w:abstractNumId w:val="9"/>
  </w:num>
  <w:num w:numId="19">
    <w:abstractNumId w:val="0"/>
  </w:num>
  <w:num w:numId="20">
    <w:abstractNumId w:val="10"/>
  </w:num>
  <w:num w:numId="21">
    <w:abstractNumId w:val="7"/>
  </w:num>
  <w:num w:numId="22">
    <w:abstractNumId w:val="16"/>
  </w:num>
  <w:num w:numId="23">
    <w:abstractNumId w:val="13"/>
  </w:num>
  <w:num w:numId="24">
    <w:abstractNumId w:val="4"/>
  </w:num>
  <w:num w:numId="25">
    <w:abstractNumId w:val="26"/>
  </w:num>
  <w:num w:numId="26">
    <w:abstractNumId w:val="1"/>
  </w:num>
  <w:num w:numId="27">
    <w:abstractNumId w:val="30"/>
  </w:num>
  <w:num w:numId="28">
    <w:abstractNumId w:val="15"/>
  </w:num>
  <w:num w:numId="29">
    <w:abstractNumId w:val="3"/>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20128"/>
    <w:rsid w:val="00021139"/>
    <w:rsid w:val="00042F40"/>
    <w:rsid w:val="00067F30"/>
    <w:rsid w:val="0007136F"/>
    <w:rsid w:val="00075AB7"/>
    <w:rsid w:val="00075B94"/>
    <w:rsid w:val="00077096"/>
    <w:rsid w:val="000A1F1C"/>
    <w:rsid w:val="000A1FF1"/>
    <w:rsid w:val="000B5496"/>
    <w:rsid w:val="000B5934"/>
    <w:rsid w:val="000C136A"/>
    <w:rsid w:val="000C3987"/>
    <w:rsid w:val="000C4534"/>
    <w:rsid w:val="000E5A71"/>
    <w:rsid w:val="001017FE"/>
    <w:rsid w:val="001346A9"/>
    <w:rsid w:val="00137E07"/>
    <w:rsid w:val="00150315"/>
    <w:rsid w:val="00156F74"/>
    <w:rsid w:val="00160CA2"/>
    <w:rsid w:val="00173D3E"/>
    <w:rsid w:val="0018582E"/>
    <w:rsid w:val="00191709"/>
    <w:rsid w:val="00192B92"/>
    <w:rsid w:val="001C2050"/>
    <w:rsid w:val="001C3592"/>
    <w:rsid w:val="001C3A24"/>
    <w:rsid w:val="001C5977"/>
    <w:rsid w:val="001D30EE"/>
    <w:rsid w:val="001E6821"/>
    <w:rsid w:val="00203982"/>
    <w:rsid w:val="0020469B"/>
    <w:rsid w:val="002060F1"/>
    <w:rsid w:val="00220898"/>
    <w:rsid w:val="0027769B"/>
    <w:rsid w:val="00283F1C"/>
    <w:rsid w:val="002A6993"/>
    <w:rsid w:val="002C1EAD"/>
    <w:rsid w:val="002D152B"/>
    <w:rsid w:val="002D3823"/>
    <w:rsid w:val="002E1D71"/>
    <w:rsid w:val="002E51F9"/>
    <w:rsid w:val="002F229B"/>
    <w:rsid w:val="002F6229"/>
    <w:rsid w:val="002F653F"/>
    <w:rsid w:val="00314650"/>
    <w:rsid w:val="00320B59"/>
    <w:rsid w:val="00324A53"/>
    <w:rsid w:val="00337267"/>
    <w:rsid w:val="003548A0"/>
    <w:rsid w:val="00363A74"/>
    <w:rsid w:val="0037163E"/>
    <w:rsid w:val="00374100"/>
    <w:rsid w:val="003B53B9"/>
    <w:rsid w:val="003C4361"/>
    <w:rsid w:val="003C7A04"/>
    <w:rsid w:val="003D4511"/>
    <w:rsid w:val="003E1C82"/>
    <w:rsid w:val="003F2060"/>
    <w:rsid w:val="003F6062"/>
    <w:rsid w:val="003F7C21"/>
    <w:rsid w:val="00426C77"/>
    <w:rsid w:val="004370B3"/>
    <w:rsid w:val="00463520"/>
    <w:rsid w:val="00464538"/>
    <w:rsid w:val="0048469A"/>
    <w:rsid w:val="00496B6A"/>
    <w:rsid w:val="004D26BE"/>
    <w:rsid w:val="004D4B91"/>
    <w:rsid w:val="00500F09"/>
    <w:rsid w:val="00505074"/>
    <w:rsid w:val="0055504F"/>
    <w:rsid w:val="00555C87"/>
    <w:rsid w:val="00560D1C"/>
    <w:rsid w:val="00582BB8"/>
    <w:rsid w:val="00583811"/>
    <w:rsid w:val="00586B0B"/>
    <w:rsid w:val="00586CA5"/>
    <w:rsid w:val="005F6794"/>
    <w:rsid w:val="00601E54"/>
    <w:rsid w:val="00605621"/>
    <w:rsid w:val="0061401C"/>
    <w:rsid w:val="0062297A"/>
    <w:rsid w:val="0062352B"/>
    <w:rsid w:val="006636AC"/>
    <w:rsid w:val="006647D2"/>
    <w:rsid w:val="00697992"/>
    <w:rsid w:val="006A0EF1"/>
    <w:rsid w:val="006A0EFF"/>
    <w:rsid w:val="006B342C"/>
    <w:rsid w:val="00717488"/>
    <w:rsid w:val="00723958"/>
    <w:rsid w:val="00737C65"/>
    <w:rsid w:val="007528A1"/>
    <w:rsid w:val="00754AF1"/>
    <w:rsid w:val="0075743C"/>
    <w:rsid w:val="007C5030"/>
    <w:rsid w:val="007D0D9D"/>
    <w:rsid w:val="00801920"/>
    <w:rsid w:val="00812B43"/>
    <w:rsid w:val="00813894"/>
    <w:rsid w:val="00826BC6"/>
    <w:rsid w:val="00837941"/>
    <w:rsid w:val="00871EB5"/>
    <w:rsid w:val="00883165"/>
    <w:rsid w:val="00885A87"/>
    <w:rsid w:val="008938EF"/>
    <w:rsid w:val="00902E75"/>
    <w:rsid w:val="00906D06"/>
    <w:rsid w:val="009100C6"/>
    <w:rsid w:val="00920943"/>
    <w:rsid w:val="00936DB2"/>
    <w:rsid w:val="00950BF2"/>
    <w:rsid w:val="00953B64"/>
    <w:rsid w:val="00961C8E"/>
    <w:rsid w:val="0098248C"/>
    <w:rsid w:val="009B333D"/>
    <w:rsid w:val="009D739E"/>
    <w:rsid w:val="00A066FB"/>
    <w:rsid w:val="00A161E3"/>
    <w:rsid w:val="00A23E21"/>
    <w:rsid w:val="00A26AE9"/>
    <w:rsid w:val="00A31065"/>
    <w:rsid w:val="00A41005"/>
    <w:rsid w:val="00A5296A"/>
    <w:rsid w:val="00A56332"/>
    <w:rsid w:val="00A64D2D"/>
    <w:rsid w:val="00A71C30"/>
    <w:rsid w:val="00A74DD8"/>
    <w:rsid w:val="00A86CDF"/>
    <w:rsid w:val="00AB1A99"/>
    <w:rsid w:val="00AC1602"/>
    <w:rsid w:val="00AD4A58"/>
    <w:rsid w:val="00B001E5"/>
    <w:rsid w:val="00B1230B"/>
    <w:rsid w:val="00B23C3D"/>
    <w:rsid w:val="00B351DD"/>
    <w:rsid w:val="00B559E4"/>
    <w:rsid w:val="00B6002F"/>
    <w:rsid w:val="00B713C3"/>
    <w:rsid w:val="00B86C46"/>
    <w:rsid w:val="00B903C4"/>
    <w:rsid w:val="00BA2021"/>
    <w:rsid w:val="00BA2926"/>
    <w:rsid w:val="00BC021F"/>
    <w:rsid w:val="00BF328F"/>
    <w:rsid w:val="00C04175"/>
    <w:rsid w:val="00C04AEA"/>
    <w:rsid w:val="00C07082"/>
    <w:rsid w:val="00C178F3"/>
    <w:rsid w:val="00C22AE2"/>
    <w:rsid w:val="00C25049"/>
    <w:rsid w:val="00C25068"/>
    <w:rsid w:val="00C25E29"/>
    <w:rsid w:val="00C31900"/>
    <w:rsid w:val="00C335F7"/>
    <w:rsid w:val="00C76F37"/>
    <w:rsid w:val="00C9190D"/>
    <w:rsid w:val="00CA7E1B"/>
    <w:rsid w:val="00CB0B5E"/>
    <w:rsid w:val="00CB7833"/>
    <w:rsid w:val="00CC05E7"/>
    <w:rsid w:val="00CD329E"/>
    <w:rsid w:val="00CD62EF"/>
    <w:rsid w:val="00CE5FB7"/>
    <w:rsid w:val="00D10913"/>
    <w:rsid w:val="00D335E4"/>
    <w:rsid w:val="00D44A98"/>
    <w:rsid w:val="00D450BD"/>
    <w:rsid w:val="00D46979"/>
    <w:rsid w:val="00D5542F"/>
    <w:rsid w:val="00D5613D"/>
    <w:rsid w:val="00D643B6"/>
    <w:rsid w:val="00D65654"/>
    <w:rsid w:val="00D72B44"/>
    <w:rsid w:val="00D762F4"/>
    <w:rsid w:val="00D772C1"/>
    <w:rsid w:val="00D801CC"/>
    <w:rsid w:val="00D96B13"/>
    <w:rsid w:val="00DB3804"/>
    <w:rsid w:val="00DB47A9"/>
    <w:rsid w:val="00DB7A46"/>
    <w:rsid w:val="00DC0B0F"/>
    <w:rsid w:val="00DC1402"/>
    <w:rsid w:val="00DC42B6"/>
    <w:rsid w:val="00DC65C4"/>
    <w:rsid w:val="00E0729B"/>
    <w:rsid w:val="00E35973"/>
    <w:rsid w:val="00E50B21"/>
    <w:rsid w:val="00E5487B"/>
    <w:rsid w:val="00E567F5"/>
    <w:rsid w:val="00E90945"/>
    <w:rsid w:val="00E927D1"/>
    <w:rsid w:val="00EB7D5D"/>
    <w:rsid w:val="00EE48C4"/>
    <w:rsid w:val="00EF1CBF"/>
    <w:rsid w:val="00F01882"/>
    <w:rsid w:val="00F020A5"/>
    <w:rsid w:val="00F023FE"/>
    <w:rsid w:val="00F056BC"/>
    <w:rsid w:val="00F16DF7"/>
    <w:rsid w:val="00F222F1"/>
    <w:rsid w:val="00F3102F"/>
    <w:rsid w:val="00F348BF"/>
    <w:rsid w:val="00F36284"/>
    <w:rsid w:val="00F426E7"/>
    <w:rsid w:val="00F56E16"/>
    <w:rsid w:val="00F56F58"/>
    <w:rsid w:val="00F57ADC"/>
    <w:rsid w:val="00F854FE"/>
    <w:rsid w:val="00F870E3"/>
    <w:rsid w:val="00F946EB"/>
    <w:rsid w:val="00F970C5"/>
    <w:rsid w:val="00FA1400"/>
    <w:rsid w:val="00FB1834"/>
    <w:rsid w:val="00FC6E15"/>
    <w:rsid w:val="00FD698A"/>
    <w:rsid w:val="00FE10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FD698A"/>
    <w:pPr>
      <w:ind w:left="720"/>
      <w:contextualSpacing/>
    </w:pPr>
  </w:style>
  <w:style w:type="table" w:styleId="Tablaconcuadrcula">
    <w:name w:val="Table Grid"/>
    <w:basedOn w:val="Tablanormal"/>
    <w:uiPriority w:val="39"/>
    <w:unhideWhenUsed/>
    <w:rsid w:val="00B2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2313978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352F-839B-4666-ABD0-7D621FD0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Daniel Santos</cp:lastModifiedBy>
  <cp:revision>20</cp:revision>
  <cp:lastPrinted>2021-12-06T21:18:00Z</cp:lastPrinted>
  <dcterms:created xsi:type="dcterms:W3CDTF">2021-11-30T18:14:00Z</dcterms:created>
  <dcterms:modified xsi:type="dcterms:W3CDTF">2021-12-06T21:20:00Z</dcterms:modified>
</cp:coreProperties>
</file>