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425F6B5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</w:t>
      </w:r>
      <w:r w:rsidR="00EB7B3C">
        <w:rPr>
          <w:rFonts w:ascii="Arial" w:hAnsi="Arial" w:cs="Arial"/>
          <w:b/>
          <w:bCs/>
        </w:rPr>
        <w:t>8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6EECD6DC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A9799E">
        <w:rPr>
          <w:rFonts w:ascii="Arial" w:eastAsia="Calibri" w:hAnsi="Arial" w:cs="Arial"/>
          <w:b/>
          <w:bCs/>
        </w:rPr>
        <w:t>5</w:t>
      </w:r>
      <w:r w:rsidR="00EB7B3C">
        <w:rPr>
          <w:rFonts w:ascii="Arial" w:eastAsia="Calibri" w:hAnsi="Arial" w:cs="Arial"/>
          <w:b/>
          <w:bCs/>
        </w:rPr>
        <w:t>3</w:t>
      </w:r>
      <w:r w:rsidR="00A9799E">
        <w:rPr>
          <w:rFonts w:ascii="Arial" w:eastAsia="Calibri" w:hAnsi="Arial" w:cs="Arial"/>
          <w:b/>
          <w:bCs/>
        </w:rPr>
        <w:t>9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EB7B3C">
        <w:rPr>
          <w:rFonts w:ascii="Arial" w:eastAsia="Calibri" w:hAnsi="Arial" w:cs="Arial"/>
        </w:rPr>
        <w:t>doce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B4CCFB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1D7E5A3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</w:t>
            </w:r>
            <w:r w:rsidR="00167189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DE4473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BFA811B" w14:textId="0768847B" w:rsidR="00A9799E" w:rsidRPr="00BF79ED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9ED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permite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enviar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es con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objetivo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antigüedad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llevo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laborando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refinería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exactamente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tengo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computados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seria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mucha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utilidad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obtención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vacante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definitiva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empresa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. 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continuación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envió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mejorar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búsqueda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mi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situación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contractual (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antigüedad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, mi primer y ultimo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credencial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empresa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. Espero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encarecidamente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a mi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agradeciéndoles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deseándoles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BF79ED">
              <w:rPr>
                <w:rFonts w:ascii="Arial" w:hAnsi="Arial" w:cs="Arial"/>
                <w:sz w:val="24"/>
                <w:szCs w:val="24"/>
              </w:rPr>
              <w:t>excelente</w:t>
            </w:r>
            <w:proofErr w:type="spellEnd"/>
            <w:r w:rsidRPr="00BF79ED">
              <w:rPr>
                <w:rFonts w:ascii="Arial" w:hAnsi="Arial" w:cs="Arial"/>
                <w:sz w:val="24"/>
                <w:szCs w:val="24"/>
              </w:rPr>
              <w:t xml:space="preserve"> día.</w:t>
            </w:r>
          </w:p>
          <w:p w14:paraId="27175ABA" w14:textId="77777777" w:rsidR="00BF79ED" w:rsidRPr="00DE4473" w:rsidRDefault="00BF79ED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B2C06FA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BF79E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187101E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5822E22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30A306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derechos </w:t>
            </w:r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ARCOP</w:t>
            </w:r>
            <w:r w:rsidRPr="00EF54E0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AEADA65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0E0A57B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58A8B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PETRÓLEOS MEXICANOS (PEMEX).</w:t>
            </w:r>
          </w:p>
          <w:p w14:paraId="3617830C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26093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AD719B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Calle Bahía del Espíritu Santo S/N, entre Bahía de San Hipólito y Bahía de Ballenas,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Acera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Sur-Oriente, Planta Baja, Colonia Verónica Anzures,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Miguel Hidalgo, Ciudad de México; C.P. 11300.</w:t>
            </w:r>
          </w:p>
          <w:p w14:paraId="0D0BEB28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B3989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04E0E" w14:textId="52A6968C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5FC53EA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(55)19442500,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12202.</w:t>
            </w:r>
          </w:p>
          <w:p w14:paraId="7B9F8998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F806D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6F8B0E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unidaddetransparencia@pemex.com, con la persona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F6B4AC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2609B" w14:textId="77777777" w:rsidR="00BF79ED" w:rsidRPr="00EF54E0" w:rsidRDefault="00BF79ED" w:rsidP="00BF79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EF54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EC93DE5" w14:textId="5482D189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 xml:space="preserve">De lunes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8:30 a 14:00 y de 15:30 a 16:00 horas, de lunes a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582E91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FF493E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A99DD2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87A5F" w14:textId="77777777" w:rsidR="00BF79ED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4E0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3E1B7CBB" w:rsidR="00A11F4E" w:rsidRPr="00EF54E0" w:rsidRDefault="00BF79ED" w:rsidP="00BF7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F54E0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EF54E0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472E19D9" w:rsidR="00A11F4E" w:rsidRPr="00D82BC3" w:rsidRDefault="00EB7B3C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14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E447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9844200" w:rsidR="00A11F4E" w:rsidRPr="00755A3B" w:rsidRDefault="00A9799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ED41261" w14:textId="77777777" w:rsidR="003C73C9" w:rsidRDefault="003C73C9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71D3BB72" w14:textId="77777777" w:rsidR="000E39E6" w:rsidRDefault="000E39E6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4A71534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08405102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BF79ED">
        <w:rPr>
          <w:rFonts w:ascii="Arial" w:hAnsi="Arial" w:cs="Arial"/>
        </w:rPr>
        <w:t>datos personales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A9799E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BF79ED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  <w:r w:rsidR="00BF79ED">
        <w:rPr>
          <w:rFonts w:ascii="Arial" w:hAnsi="Arial" w:cs="Arial"/>
        </w:rPr>
        <w:t>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A623694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</w:p>
    <w:p w14:paraId="117F67FB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A8826C0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A032C9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5397B3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179C8E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72D611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14FCCDA" w14:textId="2FDDAE42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44570">
        <w:rPr>
          <w:rFonts w:ascii="Arial" w:hAnsi="Arial" w:cs="Arial"/>
        </w:rPr>
        <w:t>Cuadragésima</w:t>
      </w:r>
      <w:r w:rsidR="007F3639">
        <w:rPr>
          <w:rFonts w:ascii="Arial" w:hAnsi="Arial" w:cs="Arial"/>
        </w:rPr>
        <w:t xml:space="preserve"> </w:t>
      </w:r>
      <w:r w:rsidR="00BF79ED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F79ED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- - - - - </w:t>
      </w:r>
    </w:p>
    <w:bookmarkEnd w:id="2"/>
    <w:bookmarkEnd w:id="3"/>
    <w:bookmarkEnd w:id="4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688F34B0" w14:textId="197BF4B1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DF81" w14:textId="77777777" w:rsidR="00FE3B38" w:rsidRDefault="00FE3B38" w:rsidP="00505074">
      <w:r>
        <w:separator/>
      </w:r>
    </w:p>
  </w:endnote>
  <w:endnote w:type="continuationSeparator" w:id="0">
    <w:p w14:paraId="4C5B1666" w14:textId="77777777" w:rsidR="00FE3B38" w:rsidRDefault="00FE3B3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263" w14:textId="77777777" w:rsidR="00FE3B38" w:rsidRDefault="00FE3B38" w:rsidP="00505074">
      <w:r>
        <w:separator/>
      </w:r>
    </w:p>
  </w:footnote>
  <w:footnote w:type="continuationSeparator" w:id="0">
    <w:p w14:paraId="10D23A9C" w14:textId="77777777" w:rsidR="00FE3B38" w:rsidRDefault="00FE3B3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1F5DA6"/>
    <w:rsid w:val="002060F1"/>
    <w:rsid w:val="00216385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C73C9"/>
    <w:rsid w:val="003E1CE6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6D07F4"/>
    <w:rsid w:val="00752A39"/>
    <w:rsid w:val="007B2839"/>
    <w:rsid w:val="007F21C9"/>
    <w:rsid w:val="007F3639"/>
    <w:rsid w:val="00801920"/>
    <w:rsid w:val="00813F50"/>
    <w:rsid w:val="008207C8"/>
    <w:rsid w:val="00835284"/>
    <w:rsid w:val="008952E2"/>
    <w:rsid w:val="008B710A"/>
    <w:rsid w:val="00900A55"/>
    <w:rsid w:val="009100C6"/>
    <w:rsid w:val="0091540F"/>
    <w:rsid w:val="00920943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799E"/>
    <w:rsid w:val="00AB71BC"/>
    <w:rsid w:val="00AD65E7"/>
    <w:rsid w:val="00B53F72"/>
    <w:rsid w:val="00B73DE8"/>
    <w:rsid w:val="00BF79ED"/>
    <w:rsid w:val="00C07082"/>
    <w:rsid w:val="00C25E29"/>
    <w:rsid w:val="00C335F7"/>
    <w:rsid w:val="00C57D43"/>
    <w:rsid w:val="00CB7833"/>
    <w:rsid w:val="00CC05E7"/>
    <w:rsid w:val="00CE6CF5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DE4473"/>
    <w:rsid w:val="00E036CD"/>
    <w:rsid w:val="00E80BD4"/>
    <w:rsid w:val="00EB4DA1"/>
    <w:rsid w:val="00EB7B3C"/>
    <w:rsid w:val="00EE48C4"/>
    <w:rsid w:val="00EE5A28"/>
    <w:rsid w:val="00EF54E0"/>
    <w:rsid w:val="00F023FE"/>
    <w:rsid w:val="00F36284"/>
    <w:rsid w:val="00F56F58"/>
    <w:rsid w:val="00F62D29"/>
    <w:rsid w:val="00F6330E"/>
    <w:rsid w:val="00F854FE"/>
    <w:rsid w:val="00FC013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12</cp:revision>
  <cp:lastPrinted>2023-06-14T18:54:00Z</cp:lastPrinted>
  <dcterms:created xsi:type="dcterms:W3CDTF">2023-05-22T20:51:00Z</dcterms:created>
  <dcterms:modified xsi:type="dcterms:W3CDTF">2023-06-14T19:50:00Z</dcterms:modified>
</cp:coreProperties>
</file>