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60C" w:rsidRDefault="00023F2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ACUERDO/OGAIPO/CT/06</w:t>
      </w:r>
      <w:r w:rsidR="00ED33BB">
        <w:rPr>
          <w:rFonts w:ascii="Arial" w:hAnsi="Arial" w:cs="Arial"/>
          <w:b/>
          <w:bCs/>
          <w:sz w:val="22"/>
          <w:szCs w:val="22"/>
        </w:rPr>
        <w:t>/2021 POR EL CUAL</w:t>
      </w:r>
      <w:r w:rsidR="006153A9">
        <w:rPr>
          <w:rFonts w:ascii="Arial" w:hAnsi="Arial" w:cs="Arial"/>
          <w:b/>
          <w:bCs/>
          <w:sz w:val="22"/>
          <w:szCs w:val="22"/>
        </w:rPr>
        <w:t xml:space="preserve"> EL COMITÉ DE TRANSPARENCIA DE </w:t>
      </w:r>
      <w:r w:rsidR="00ED33BB">
        <w:rPr>
          <w:rFonts w:ascii="Arial" w:hAnsi="Arial" w:cs="Arial"/>
          <w:b/>
          <w:bCs/>
          <w:sz w:val="22"/>
          <w:szCs w:val="22"/>
        </w:rPr>
        <w:t>ESTE ÓRGANO GARANTE, CONFIRMA, MODIFICA O REVOCA LA DECLARATORIA DE INCOMPETENCIA Y ORIENTACIÓN QUE EMITE LA UNIDAD DE TRANSPARENCIA, RESPECTO DE LAS SOLICITUDES DE ACCESO A LA INFORMACIÓN PÚBLICA Y DE DERECHOS ARCO</w:t>
      </w:r>
      <w:r w:rsidR="00DE3F38">
        <w:rPr>
          <w:rFonts w:ascii="Arial" w:hAnsi="Arial" w:cs="Arial"/>
          <w:b/>
          <w:bCs/>
          <w:sz w:val="22"/>
          <w:szCs w:val="22"/>
        </w:rPr>
        <w:t>P</w:t>
      </w:r>
      <w:r w:rsidR="00ED33BB">
        <w:rPr>
          <w:rFonts w:ascii="Arial" w:hAnsi="Arial" w:cs="Arial"/>
          <w:b/>
          <w:bCs/>
          <w:sz w:val="22"/>
          <w:szCs w:val="22"/>
        </w:rPr>
        <w:t>.</w:t>
      </w:r>
    </w:p>
    <w:p w:rsidR="00EB7D5B" w:rsidRDefault="00EB7D5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E628E7" w:rsidRDefault="00ED33BB" w:rsidP="00E628E7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ANTECEDENTES</w:t>
      </w:r>
    </w:p>
    <w:p w:rsidR="00EB7D5B" w:rsidRDefault="00EB7D5B" w:rsidP="00E628E7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3E460C" w:rsidRDefault="00ED33BB">
      <w:pPr>
        <w:pStyle w:val="Sinespaciado"/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1.-</w:t>
      </w:r>
      <w:r>
        <w:rPr>
          <w:rFonts w:ascii="Arial" w:eastAsia="Calibri" w:hAnsi="Arial" w:cs="Arial"/>
          <w:sz w:val="22"/>
          <w:szCs w:val="22"/>
        </w:rPr>
        <w:t xml:space="preserve"> </w:t>
      </w:r>
      <w:r>
        <w:rPr>
          <w:rFonts w:ascii="Arial" w:eastAsia="Calibri" w:hAnsi="Arial" w:cs="Arial"/>
          <w:sz w:val="22"/>
          <w:szCs w:val="22"/>
          <w:lang w:val="es-ES"/>
        </w:rPr>
        <w:t>E</w:t>
      </w:r>
      <w:r>
        <w:rPr>
          <w:rFonts w:ascii="Arial" w:eastAsia="Calibri" w:hAnsi="Arial" w:cs="Arial"/>
          <w:sz w:val="22"/>
          <w:szCs w:val="22"/>
        </w:rPr>
        <w:t xml:space="preserve">n la primera sesión Ordinaria 2021 del Consejo General del Órgano Garante de Acceso a la Información Pública, Transparencia, Protección de Datos Personales y Buen Gobierno del Estado de Oaxaca, </w:t>
      </w:r>
      <w:r w:rsidR="00A6181A">
        <w:rPr>
          <w:rFonts w:ascii="Arial" w:eastAsia="Calibri" w:hAnsi="Arial" w:cs="Arial"/>
          <w:sz w:val="22"/>
          <w:szCs w:val="22"/>
        </w:rPr>
        <w:t>celebrada el</w:t>
      </w:r>
      <w:r>
        <w:rPr>
          <w:rFonts w:ascii="Arial" w:eastAsia="Calibri" w:hAnsi="Arial" w:cs="Arial"/>
          <w:sz w:val="22"/>
          <w:szCs w:val="22"/>
        </w:rPr>
        <w:t xml:space="preserve"> día 12 de noviembre de 2021, </w:t>
      </w:r>
      <w:r w:rsidR="00A6181A">
        <w:rPr>
          <w:rFonts w:ascii="Arial" w:eastAsia="Calibri" w:hAnsi="Arial" w:cs="Arial"/>
          <w:sz w:val="22"/>
          <w:szCs w:val="22"/>
        </w:rPr>
        <w:t>el Consejo</w:t>
      </w:r>
      <w:r>
        <w:rPr>
          <w:rFonts w:ascii="Arial" w:eastAsia="Calibri" w:hAnsi="Arial" w:cs="Arial"/>
          <w:sz w:val="22"/>
          <w:szCs w:val="22"/>
        </w:rPr>
        <w:t xml:space="preserve"> General del </w:t>
      </w:r>
      <w:r>
        <w:rPr>
          <w:rFonts w:ascii="Arial" w:eastAsia="Calibri" w:hAnsi="Arial" w:cs="Arial"/>
          <w:sz w:val="22"/>
          <w:szCs w:val="22"/>
          <w:lang w:val="es-ES"/>
        </w:rPr>
        <w:t>este Órgano,</w:t>
      </w:r>
      <w:r>
        <w:rPr>
          <w:rFonts w:ascii="Arial" w:eastAsia="Calibri" w:hAnsi="Arial" w:cs="Arial"/>
          <w:sz w:val="22"/>
          <w:szCs w:val="22"/>
        </w:rPr>
        <w:t xml:space="preserve"> en su dualidad de Sujeto Obligado y Órgano Garante </w:t>
      </w:r>
      <w:r>
        <w:rPr>
          <w:rFonts w:ascii="Arial" w:eastAsia="Calibri" w:hAnsi="Arial" w:cs="Arial"/>
          <w:sz w:val="22"/>
          <w:szCs w:val="22"/>
          <w:lang w:val="es-ES"/>
        </w:rPr>
        <w:t>designó</w:t>
      </w:r>
      <w:r>
        <w:rPr>
          <w:rFonts w:ascii="Arial" w:eastAsia="Calibri" w:hAnsi="Arial" w:cs="Arial"/>
          <w:sz w:val="22"/>
          <w:szCs w:val="22"/>
        </w:rPr>
        <w:t xml:space="preserve"> a las y los integrantes del Comité de Transparencia.</w:t>
      </w:r>
    </w:p>
    <w:p w:rsidR="003E460C" w:rsidRDefault="003E460C">
      <w:pPr>
        <w:pStyle w:val="Sinespaciado"/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</w:p>
    <w:p w:rsidR="00EB7D5B" w:rsidRDefault="00EB7D5B">
      <w:pPr>
        <w:pStyle w:val="Sinespaciado"/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</w:p>
    <w:p w:rsidR="003E460C" w:rsidRDefault="00ED33BB" w:rsidP="00E628E7">
      <w:pPr>
        <w:pStyle w:val="Sinespaciado"/>
        <w:spacing w:line="360" w:lineRule="auto"/>
        <w:jc w:val="both"/>
        <w:rPr>
          <w:rFonts w:ascii="Arial" w:eastAsia="Calibri" w:hAnsi="Arial" w:cs="Arial"/>
          <w:sz w:val="22"/>
          <w:szCs w:val="22"/>
          <w:lang w:val="es-ES"/>
        </w:rPr>
      </w:pPr>
      <w:r>
        <w:rPr>
          <w:rFonts w:ascii="Arial" w:eastAsia="Calibri" w:hAnsi="Arial" w:cs="Arial"/>
          <w:b/>
          <w:sz w:val="22"/>
          <w:szCs w:val="22"/>
        </w:rPr>
        <w:t xml:space="preserve">2.- </w:t>
      </w:r>
      <w:r>
        <w:rPr>
          <w:rFonts w:ascii="Arial" w:eastAsia="Calibri" w:hAnsi="Arial" w:cs="Arial"/>
          <w:sz w:val="22"/>
          <w:szCs w:val="22"/>
        </w:rPr>
        <w:t>En atención a</w:t>
      </w:r>
      <w:r w:rsidR="00853FDE">
        <w:rPr>
          <w:rFonts w:ascii="Arial" w:eastAsia="Calibri" w:hAnsi="Arial" w:cs="Arial"/>
          <w:sz w:val="22"/>
          <w:szCs w:val="22"/>
        </w:rPr>
        <w:t>l</w:t>
      </w:r>
      <w:r>
        <w:rPr>
          <w:rFonts w:ascii="Arial" w:eastAsia="Calibri" w:hAnsi="Arial" w:cs="Arial"/>
          <w:sz w:val="22"/>
          <w:szCs w:val="22"/>
        </w:rPr>
        <w:t xml:space="preserve"> oficio con número: </w:t>
      </w:r>
      <w:r w:rsidR="00023F2E">
        <w:rPr>
          <w:rFonts w:ascii="Arial" w:eastAsia="Calibri" w:hAnsi="Arial" w:cs="Arial"/>
          <w:b/>
          <w:bCs/>
          <w:sz w:val="22"/>
          <w:szCs w:val="22"/>
        </w:rPr>
        <w:t>OGAIPO/UT/074</w:t>
      </w:r>
      <w:r>
        <w:rPr>
          <w:rFonts w:ascii="Arial" w:eastAsia="Calibri" w:hAnsi="Arial" w:cs="Arial"/>
          <w:b/>
          <w:bCs/>
          <w:sz w:val="22"/>
          <w:szCs w:val="22"/>
        </w:rPr>
        <w:t>/2021</w:t>
      </w:r>
      <w:r w:rsidR="00CC70E2">
        <w:rPr>
          <w:rFonts w:ascii="Arial" w:eastAsia="Calibri" w:hAnsi="Arial" w:cs="Arial"/>
          <w:b/>
          <w:bCs/>
          <w:sz w:val="22"/>
          <w:szCs w:val="22"/>
        </w:rPr>
        <w:t xml:space="preserve"> </w:t>
      </w:r>
      <w:r>
        <w:rPr>
          <w:rFonts w:ascii="Arial" w:eastAsia="Calibri" w:hAnsi="Arial" w:cs="Arial"/>
          <w:sz w:val="22"/>
          <w:szCs w:val="22"/>
        </w:rPr>
        <w:t xml:space="preserve">recibido con fecha </w:t>
      </w:r>
      <w:r w:rsidR="00F70106">
        <w:rPr>
          <w:rFonts w:ascii="Arial" w:eastAsia="Calibri" w:hAnsi="Arial" w:cs="Arial"/>
          <w:sz w:val="22"/>
          <w:szCs w:val="22"/>
        </w:rPr>
        <w:t>tres</w:t>
      </w:r>
      <w:r w:rsidR="00853FDE">
        <w:rPr>
          <w:rFonts w:ascii="Arial" w:eastAsia="Calibri" w:hAnsi="Arial" w:cs="Arial"/>
          <w:sz w:val="22"/>
          <w:szCs w:val="22"/>
        </w:rPr>
        <w:t xml:space="preserve"> </w:t>
      </w:r>
      <w:r>
        <w:rPr>
          <w:rFonts w:ascii="Arial" w:eastAsia="Calibri" w:hAnsi="Arial" w:cs="Arial"/>
          <w:sz w:val="22"/>
          <w:szCs w:val="22"/>
        </w:rPr>
        <w:t xml:space="preserve">de </w:t>
      </w:r>
      <w:r w:rsidR="00853FDE">
        <w:rPr>
          <w:rFonts w:ascii="Arial" w:eastAsia="Calibri" w:hAnsi="Arial" w:cs="Arial"/>
          <w:sz w:val="22"/>
          <w:szCs w:val="22"/>
        </w:rPr>
        <w:t>diciembre</w:t>
      </w:r>
      <w:r>
        <w:rPr>
          <w:rFonts w:ascii="Arial" w:eastAsia="Calibri" w:hAnsi="Arial" w:cs="Arial"/>
          <w:sz w:val="22"/>
          <w:szCs w:val="22"/>
        </w:rPr>
        <w:t xml:space="preserve"> de 2021, mediante el Sistema de Solicitudes de Información del Estado de Oaxaca (SISAI 2.0) este cuerpo colegiado admite y analiza lo conducente. - - - </w:t>
      </w:r>
      <w:r>
        <w:rPr>
          <w:rFonts w:ascii="Arial" w:eastAsia="Calibri" w:hAnsi="Arial" w:cs="Arial"/>
          <w:sz w:val="22"/>
          <w:szCs w:val="22"/>
          <w:lang w:val="es-ES"/>
        </w:rPr>
        <w:t xml:space="preserve"> - - - - - - - - </w:t>
      </w:r>
    </w:p>
    <w:p w:rsidR="00EB7D5B" w:rsidRPr="00E628E7" w:rsidRDefault="00EB7D5B" w:rsidP="00E628E7">
      <w:pPr>
        <w:pStyle w:val="Sinespaciado"/>
        <w:spacing w:line="360" w:lineRule="auto"/>
        <w:jc w:val="both"/>
        <w:rPr>
          <w:rFonts w:ascii="Arial" w:eastAsia="Times New Roman" w:hAnsi="Arial" w:cs="Arial"/>
          <w:bCs/>
          <w:sz w:val="22"/>
          <w:szCs w:val="22"/>
          <w:lang w:val="es-ES"/>
        </w:rPr>
      </w:pPr>
    </w:p>
    <w:p w:rsidR="003E460C" w:rsidRDefault="00ED33BB" w:rsidP="00E628E7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CONSIDERANDOS</w:t>
      </w:r>
    </w:p>
    <w:p w:rsidR="00EB7D5B" w:rsidRDefault="00EB7D5B" w:rsidP="00E628E7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3E460C" w:rsidRDefault="00ED33B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PRIMERO.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eastAsia="Calibri" w:hAnsi="Arial" w:cs="Arial"/>
          <w:sz w:val="22"/>
          <w:szCs w:val="22"/>
        </w:rPr>
        <w:t xml:space="preserve">A través de la Secretaría Ejecutiva del Comité de Transparencia de este Órgano Garante se da cuenta </w:t>
      </w:r>
      <w:r>
        <w:rPr>
          <w:rFonts w:ascii="Arial" w:eastAsia="Calibri" w:hAnsi="Arial" w:cs="Arial"/>
          <w:sz w:val="22"/>
          <w:szCs w:val="22"/>
          <w:lang w:val="es-ES"/>
        </w:rPr>
        <w:t>de</w:t>
      </w:r>
      <w:r>
        <w:rPr>
          <w:rFonts w:ascii="Arial" w:eastAsia="Calibri" w:hAnsi="Arial" w:cs="Arial"/>
          <w:sz w:val="22"/>
          <w:szCs w:val="22"/>
        </w:rPr>
        <w:t xml:space="preserve"> la</w:t>
      </w:r>
      <w:r w:rsidR="00CC70E2">
        <w:rPr>
          <w:rFonts w:ascii="Arial" w:eastAsia="Calibri" w:hAnsi="Arial" w:cs="Arial"/>
          <w:sz w:val="22"/>
          <w:szCs w:val="22"/>
        </w:rPr>
        <w:t>s</w:t>
      </w:r>
      <w:r>
        <w:rPr>
          <w:rFonts w:ascii="Arial" w:eastAsia="Calibri" w:hAnsi="Arial" w:cs="Arial"/>
          <w:sz w:val="22"/>
          <w:szCs w:val="22"/>
        </w:rPr>
        <w:t xml:space="preserve"> solicitud</w:t>
      </w:r>
      <w:r w:rsidR="00CC70E2">
        <w:rPr>
          <w:rFonts w:ascii="Arial" w:eastAsia="Calibri" w:hAnsi="Arial" w:cs="Arial"/>
          <w:sz w:val="22"/>
          <w:szCs w:val="22"/>
        </w:rPr>
        <w:t>es</w:t>
      </w:r>
      <w:r>
        <w:rPr>
          <w:rFonts w:ascii="Arial" w:eastAsia="Calibri" w:hAnsi="Arial" w:cs="Arial"/>
          <w:sz w:val="22"/>
          <w:szCs w:val="22"/>
        </w:rPr>
        <w:t xml:space="preserve"> de acceso a la información o de derechos ARCO</w:t>
      </w:r>
      <w:r w:rsidR="00DE3F38">
        <w:rPr>
          <w:rFonts w:ascii="Arial" w:eastAsia="Calibri" w:hAnsi="Arial" w:cs="Arial"/>
          <w:sz w:val="22"/>
          <w:szCs w:val="22"/>
        </w:rPr>
        <w:t>P</w:t>
      </w:r>
      <w:r>
        <w:rPr>
          <w:rFonts w:ascii="Arial" w:eastAsia="Calibri" w:hAnsi="Arial" w:cs="Arial"/>
          <w:sz w:val="22"/>
          <w:szCs w:val="22"/>
        </w:rPr>
        <w:t xml:space="preserve"> registrada</w:t>
      </w:r>
      <w:r w:rsidR="00CC70E2">
        <w:rPr>
          <w:rFonts w:ascii="Arial" w:eastAsia="Calibri" w:hAnsi="Arial" w:cs="Arial"/>
          <w:sz w:val="22"/>
          <w:szCs w:val="22"/>
        </w:rPr>
        <w:t>s</w:t>
      </w:r>
      <w:r>
        <w:rPr>
          <w:rFonts w:ascii="Arial" w:eastAsia="Calibri" w:hAnsi="Arial" w:cs="Arial"/>
          <w:sz w:val="22"/>
          <w:szCs w:val="22"/>
        </w:rPr>
        <w:t xml:space="preserve"> en la bandeja electrónica del Comité, en el Sistema de Solicitudes de Información del Estado de Oaxaca (Plataforma Nacional de Transparencia), y derivado del análisis de la misma, se determina que se CONFIRMA, MODIFICA O REVOCA la determinación del Responsable de la Unidad de Transparencia.- - - - - - - - - - - - - - - - - - - </w:t>
      </w:r>
    </w:p>
    <w:p w:rsidR="00E628E7" w:rsidRDefault="00E628E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B7D5B" w:rsidRDefault="00EB7D5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2618A" w:rsidRDefault="00ED33BB" w:rsidP="00E628E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SEGUNDO. </w:t>
      </w:r>
      <w:r>
        <w:rPr>
          <w:rFonts w:ascii="Arial" w:eastAsia="Calibri" w:hAnsi="Arial" w:cs="Arial"/>
          <w:sz w:val="22"/>
          <w:szCs w:val="22"/>
        </w:rPr>
        <w:t xml:space="preserve">Para atender dicha </w:t>
      </w:r>
      <w:r w:rsidR="00853FDE">
        <w:rPr>
          <w:rFonts w:ascii="Arial" w:eastAsia="Calibri" w:hAnsi="Arial" w:cs="Arial"/>
          <w:sz w:val="22"/>
          <w:szCs w:val="22"/>
        </w:rPr>
        <w:t>orientació</w:t>
      </w:r>
      <w:r w:rsidR="0062618A">
        <w:rPr>
          <w:rFonts w:ascii="Arial" w:eastAsia="Calibri" w:hAnsi="Arial" w:cs="Arial"/>
          <w:sz w:val="22"/>
          <w:szCs w:val="22"/>
        </w:rPr>
        <w:t>n</w:t>
      </w:r>
      <w:r>
        <w:rPr>
          <w:rFonts w:ascii="Arial" w:eastAsia="Calibri" w:hAnsi="Arial" w:cs="Arial"/>
          <w:sz w:val="22"/>
          <w:szCs w:val="22"/>
        </w:rPr>
        <w:t xml:space="preserve">, este cuerpo colegiado tiene las atribuciones y facultades necesarias, lo anterior con fundamento en lo dispuesto por los artículos 44 fracción II de la Ley General de Transparencia y Acceso a la Información Pública, 73 fracción II de la Ley de Transparencia, Acceso a la Información Pública y Buen Gobierno para el Estado de Oaxaca y 15 fracción IX del Reglamento Interno del Comité de Transparencia </w:t>
      </w:r>
      <w:r>
        <w:rPr>
          <w:rFonts w:ascii="Arial" w:eastAsia="Calibri" w:hAnsi="Arial" w:cs="Arial"/>
          <w:sz w:val="22"/>
          <w:szCs w:val="22"/>
          <w:lang w:val="es-ES"/>
        </w:rPr>
        <w:t>vigente</w:t>
      </w:r>
      <w:r>
        <w:rPr>
          <w:rFonts w:ascii="Arial" w:eastAsia="Calibri" w:hAnsi="Arial" w:cs="Arial"/>
          <w:sz w:val="22"/>
          <w:szCs w:val="22"/>
        </w:rPr>
        <w:t>; lo que se realiza y observa enseguida.- - - - - - - - - - - - - - - - - - - - -</w:t>
      </w:r>
    </w:p>
    <w:p w:rsidR="00E628E7" w:rsidRDefault="00ED33BB" w:rsidP="00E628E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 </w:t>
      </w:r>
    </w:p>
    <w:p w:rsidR="00EB7D5B" w:rsidRDefault="00EB7D5B" w:rsidP="00E628E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</w:p>
    <w:p w:rsidR="00EB7D5B" w:rsidRDefault="00EB7D5B" w:rsidP="00E628E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</w:p>
    <w:p w:rsidR="00EB7D5B" w:rsidRDefault="00EB7D5B" w:rsidP="00E628E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</w:p>
    <w:p w:rsidR="00EB7D5B" w:rsidRDefault="00EB7D5B" w:rsidP="00E628E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</w:p>
    <w:p w:rsidR="00EB7D5B" w:rsidRDefault="00EB7D5B" w:rsidP="00E628E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</w:p>
    <w:p w:rsidR="00EB7D5B" w:rsidRDefault="00EB7D5B" w:rsidP="00E628E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</w:p>
    <w:p w:rsidR="00EB7D5B" w:rsidRDefault="00EB7D5B" w:rsidP="00E628E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</w:p>
    <w:p w:rsidR="00EB7D5B" w:rsidRPr="00E628E7" w:rsidRDefault="00EB7D5B" w:rsidP="00E628E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</w:p>
    <w:tbl>
      <w:tblPr>
        <w:tblStyle w:val="Tablaconcuadrcula"/>
        <w:tblW w:w="9840" w:type="dxa"/>
        <w:tblInd w:w="-250" w:type="dxa"/>
        <w:tblLayout w:type="fixed"/>
        <w:tblLook w:val="04A0" w:firstRow="1" w:lastRow="0" w:firstColumn="1" w:lastColumn="0" w:noHBand="0" w:noVBand="1"/>
      </w:tblPr>
      <w:tblGrid>
        <w:gridCol w:w="690"/>
        <w:gridCol w:w="2340"/>
        <w:gridCol w:w="3675"/>
        <w:gridCol w:w="1725"/>
        <w:gridCol w:w="1410"/>
      </w:tblGrid>
      <w:tr w:rsidR="003E460C">
        <w:tc>
          <w:tcPr>
            <w:tcW w:w="690" w:type="dxa"/>
            <w:shd w:val="clear" w:color="auto" w:fill="E7E6E6" w:themeFill="background2"/>
            <w:vAlign w:val="center"/>
          </w:tcPr>
          <w:p w:rsidR="003E460C" w:rsidRDefault="00ED33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N.P.</w:t>
            </w:r>
          </w:p>
        </w:tc>
        <w:tc>
          <w:tcPr>
            <w:tcW w:w="2340" w:type="dxa"/>
            <w:shd w:val="clear" w:color="auto" w:fill="E7E6E6" w:themeFill="background2"/>
            <w:vAlign w:val="center"/>
          </w:tcPr>
          <w:p w:rsidR="003E460C" w:rsidRDefault="00ED33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SOLICITUD</w:t>
            </w:r>
          </w:p>
        </w:tc>
        <w:tc>
          <w:tcPr>
            <w:tcW w:w="3675" w:type="dxa"/>
            <w:shd w:val="clear" w:color="auto" w:fill="E7E6E6" w:themeFill="background2"/>
            <w:vAlign w:val="center"/>
          </w:tcPr>
          <w:p w:rsidR="003E460C" w:rsidRPr="00CC70E2" w:rsidRDefault="00ED33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CC70E2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RESPUESTA DE LA UNIDAD DE TRANSPARENCIA</w:t>
            </w:r>
          </w:p>
        </w:tc>
        <w:tc>
          <w:tcPr>
            <w:tcW w:w="1725" w:type="dxa"/>
            <w:shd w:val="clear" w:color="auto" w:fill="E7E6E6" w:themeFill="background2"/>
            <w:vAlign w:val="center"/>
          </w:tcPr>
          <w:p w:rsidR="003E460C" w:rsidRPr="00CC70E2" w:rsidRDefault="00ED33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CC70E2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ESTADO / FECHA INICIO OFICIAL DEL PASO</w:t>
            </w:r>
          </w:p>
        </w:tc>
        <w:tc>
          <w:tcPr>
            <w:tcW w:w="1410" w:type="dxa"/>
            <w:shd w:val="clear" w:color="auto" w:fill="E7E6E6" w:themeFill="background2"/>
            <w:vAlign w:val="center"/>
          </w:tcPr>
          <w:p w:rsidR="003E460C" w:rsidRDefault="00ED33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DECISIÓN DEL COMITÉ</w:t>
            </w:r>
          </w:p>
        </w:tc>
      </w:tr>
      <w:tr w:rsidR="003E460C" w:rsidTr="00333C24">
        <w:tc>
          <w:tcPr>
            <w:tcW w:w="690" w:type="dxa"/>
            <w:tcBorders>
              <w:bottom w:val="single" w:sz="4" w:space="0" w:color="auto"/>
            </w:tcBorders>
          </w:tcPr>
          <w:p w:rsidR="003E460C" w:rsidRDefault="003E46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E460C" w:rsidRDefault="00ED33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3E460C" w:rsidRPr="006A103E" w:rsidRDefault="003E460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  <w:lang w:val="es-MX"/>
              </w:rPr>
            </w:pPr>
          </w:p>
          <w:p w:rsidR="003E460C" w:rsidRPr="006A103E" w:rsidRDefault="00ED33B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  <w:lang w:val="es-MX"/>
              </w:rPr>
            </w:pPr>
            <w:r w:rsidRPr="006A103E">
              <w:rPr>
                <w:rFonts w:ascii="Arial" w:hAnsi="Arial" w:cs="Arial"/>
                <w:bCs/>
                <w:color w:val="000000"/>
                <w:sz w:val="20"/>
                <w:szCs w:val="20"/>
                <w:lang w:val="es-MX"/>
              </w:rPr>
              <w:t xml:space="preserve">Folio:    </w:t>
            </w:r>
            <w:r w:rsidR="00C21F32">
              <w:rPr>
                <w:rFonts w:ascii="Arial" w:hAnsi="Arial" w:cs="Arial"/>
                <w:bCs/>
                <w:color w:val="000000"/>
                <w:sz w:val="20"/>
                <w:szCs w:val="20"/>
                <w:lang w:val="es-MX"/>
              </w:rPr>
              <w:t>202728521000019</w:t>
            </w:r>
          </w:p>
          <w:p w:rsidR="003E460C" w:rsidRPr="006A103E" w:rsidRDefault="003E460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  <w:lang w:val="es-MX"/>
              </w:rPr>
            </w:pPr>
          </w:p>
          <w:p w:rsidR="003E460C" w:rsidRPr="006A103E" w:rsidRDefault="00ED33B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  <w:lang w:val="es-MX"/>
              </w:rPr>
            </w:pPr>
            <w:r w:rsidRPr="006A103E">
              <w:rPr>
                <w:rFonts w:ascii="Arial" w:hAnsi="Arial" w:cs="Arial"/>
                <w:bCs/>
                <w:color w:val="000000"/>
                <w:sz w:val="20"/>
                <w:szCs w:val="20"/>
                <w:lang w:val="es-MX"/>
              </w:rPr>
              <w:t>Descripción de la solicitud de información:</w:t>
            </w:r>
          </w:p>
          <w:p w:rsidR="003E460C" w:rsidRPr="006A103E" w:rsidRDefault="003E460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val="es-MX"/>
              </w:rPr>
            </w:pPr>
          </w:p>
          <w:p w:rsidR="00735DC0" w:rsidRPr="006A103E" w:rsidRDefault="00735DC0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  <w:lang w:val="es-MX"/>
              </w:rPr>
            </w:pPr>
          </w:p>
          <w:p w:rsidR="00735DC0" w:rsidRPr="003C7919" w:rsidRDefault="00023F2E" w:rsidP="00023F2E">
            <w:pPr>
              <w:jc w:val="both"/>
              <w:rPr>
                <w:rFonts w:ascii="Arial" w:hAnsi="Arial" w:cs="Arial"/>
                <w:sz w:val="20"/>
                <w:highlight w:val="yellow"/>
                <w:lang w:val="es-MX"/>
              </w:rPr>
            </w:pPr>
            <w:r w:rsidRPr="003C7919">
              <w:rPr>
                <w:rFonts w:ascii="Arial" w:hAnsi="Arial" w:cs="Arial"/>
                <w:sz w:val="20"/>
                <w:lang w:val="es-MX"/>
              </w:rPr>
              <w:t xml:space="preserve">La publicación en el periódico oficial del Estado de Oaxaca de la Resolución de confirmación de terrenos comunales de la comunidad indígena </w:t>
            </w:r>
            <w:proofErr w:type="spellStart"/>
            <w:r w:rsidRPr="003C7919">
              <w:rPr>
                <w:rFonts w:ascii="Arial" w:hAnsi="Arial" w:cs="Arial"/>
                <w:sz w:val="20"/>
                <w:lang w:val="es-MX"/>
              </w:rPr>
              <w:t>Nochixtlán</w:t>
            </w:r>
            <w:proofErr w:type="spellEnd"/>
            <w:r w:rsidRPr="003C7919">
              <w:rPr>
                <w:rFonts w:ascii="Arial" w:hAnsi="Arial" w:cs="Arial"/>
                <w:sz w:val="20"/>
                <w:lang w:val="es-MX"/>
              </w:rPr>
              <w:t>, en el Estado de Oaxaca adoptada el 11 de abril de</w:t>
            </w:r>
            <w:r w:rsidRPr="003C7919">
              <w:rPr>
                <w:rFonts w:ascii="Arial" w:hAnsi="Arial" w:cs="Arial"/>
                <w:sz w:val="20"/>
                <w:lang w:val="es-MX"/>
              </w:rPr>
              <w:br/>
              <w:t>1945 en la que se estableció que sería inscrita tanto en el Registro Agrario Nacional, como en el Registro Público de la Propiedad y se inscribiría en el Diario Oficial de la Federación y en el Periódico Oficial del Gobierno del Estado de Oaxaca</w:t>
            </w:r>
            <w:r w:rsidR="00F70106" w:rsidRPr="003C7919">
              <w:rPr>
                <w:rFonts w:ascii="Arial" w:hAnsi="Arial" w:cs="Arial"/>
                <w:sz w:val="20"/>
                <w:lang w:val="es-MX"/>
              </w:rPr>
              <w:t>.</w:t>
            </w:r>
          </w:p>
          <w:p w:rsidR="003E460C" w:rsidRPr="006A103E" w:rsidRDefault="00ED33BB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A103E">
              <w:rPr>
                <w:rFonts w:ascii="Arial" w:hAnsi="Arial" w:cs="Arial"/>
                <w:sz w:val="20"/>
                <w:szCs w:val="20"/>
                <w:lang w:val="es-MX"/>
              </w:rPr>
              <w:br/>
            </w:r>
            <w:r w:rsidRPr="006A103E">
              <w:rPr>
                <w:rFonts w:ascii="Arial" w:hAnsi="Arial" w:cs="Arial"/>
                <w:sz w:val="20"/>
                <w:szCs w:val="20"/>
                <w:lang w:val="es-MX"/>
              </w:rPr>
              <w:br/>
            </w:r>
            <w:r w:rsidRPr="006A103E">
              <w:rPr>
                <w:rFonts w:ascii="Arial" w:hAnsi="Arial" w:cs="Arial"/>
                <w:bCs/>
                <w:color w:val="000000"/>
                <w:sz w:val="20"/>
                <w:szCs w:val="20"/>
                <w:lang w:val="es-MX"/>
              </w:rPr>
              <w:t xml:space="preserve">Otros datos para facilitar su localización: </w:t>
            </w:r>
            <w:r w:rsidRPr="006A103E"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  <w:t>Ninguno.</w:t>
            </w:r>
          </w:p>
          <w:p w:rsidR="003E460C" w:rsidRPr="006A103E" w:rsidRDefault="003E46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</w:pPr>
          </w:p>
          <w:p w:rsidR="003E460C" w:rsidRPr="006A103E" w:rsidRDefault="00ED33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</w:pPr>
            <w:r w:rsidRPr="006A103E">
              <w:rPr>
                <w:rFonts w:ascii="Arial" w:hAnsi="Arial" w:cs="Arial"/>
                <w:bCs/>
                <w:color w:val="000000"/>
                <w:sz w:val="20"/>
                <w:szCs w:val="20"/>
                <w:lang w:val="es-MX"/>
              </w:rPr>
              <w:t>Archivo adjunto de la solicitud:</w:t>
            </w:r>
            <w:r w:rsidRPr="006A103E"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  <w:t xml:space="preserve"> </w:t>
            </w:r>
            <w:r w:rsidR="00023F2E"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  <w:t>DOF.pdf</w:t>
            </w:r>
          </w:p>
          <w:p w:rsidR="003E460C" w:rsidRPr="006A103E" w:rsidRDefault="003E46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3675" w:type="dxa"/>
            <w:tcBorders>
              <w:bottom w:val="single" w:sz="4" w:space="0" w:color="auto"/>
            </w:tcBorders>
          </w:tcPr>
          <w:p w:rsidR="00023F2E" w:rsidRPr="00023F2E" w:rsidRDefault="00023F2E" w:rsidP="00023F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023F2E">
              <w:rPr>
                <w:rFonts w:ascii="Arial" w:hAnsi="Arial" w:cs="Arial"/>
                <w:b/>
                <w:sz w:val="20"/>
                <w:szCs w:val="20"/>
                <w:lang w:val="es-MX"/>
              </w:rPr>
              <w:t>Estimado(a) solicitante:</w:t>
            </w:r>
          </w:p>
          <w:p w:rsidR="00023F2E" w:rsidRDefault="00023F2E" w:rsidP="00023F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023F2E">
              <w:rPr>
                <w:rFonts w:ascii="Arial" w:hAnsi="Arial" w:cs="Arial"/>
                <w:sz w:val="20"/>
                <w:szCs w:val="20"/>
                <w:lang w:val="es-MX"/>
              </w:rPr>
              <w:t xml:space="preserve">Con fundamento en el artículo 71 fracción III, de la Ley de Transparencia, Acceso a la Información Pública y Buen Gobierno del Estado de Oaxaca, el cual establece: auxiliar a las personas en la elaboración de solicitudes de información o para la protección de datos personales y, en su caso, orientarlos sobre los sujetos obligados a quien deban dirigirlas, se le </w:t>
            </w:r>
            <w:r w:rsidRPr="00023F2E">
              <w:rPr>
                <w:rFonts w:ascii="Arial" w:hAnsi="Arial" w:cs="Arial"/>
                <w:b/>
                <w:sz w:val="20"/>
                <w:szCs w:val="20"/>
                <w:lang w:val="es-MX"/>
              </w:rPr>
              <w:t>ORIENTA</w:t>
            </w:r>
            <w:r w:rsidRPr="00023F2E">
              <w:rPr>
                <w:rFonts w:ascii="Arial" w:hAnsi="Arial" w:cs="Arial"/>
                <w:sz w:val="20"/>
                <w:szCs w:val="20"/>
                <w:lang w:val="es-MX"/>
              </w:rPr>
              <w:t xml:space="preserve"> debidamente a efecto de que presente su solicitud ante la Unidad de Transparencia de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 la:</w:t>
            </w:r>
          </w:p>
          <w:p w:rsidR="00023F2E" w:rsidRDefault="00023F2E" w:rsidP="00023F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023F2E" w:rsidRDefault="00023F2E" w:rsidP="00023F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023F2E">
              <w:rPr>
                <w:rFonts w:ascii="Arial" w:hAnsi="Arial" w:cs="Arial"/>
                <w:b/>
                <w:sz w:val="20"/>
                <w:szCs w:val="20"/>
                <w:lang w:val="es-MX"/>
              </w:rPr>
              <w:t>CONSEJERÍA JURÍDICA DEL GOBIERNO DEL ESTADO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>.</w:t>
            </w:r>
          </w:p>
          <w:p w:rsidR="00023F2E" w:rsidRDefault="00023F2E" w:rsidP="00023F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023F2E">
              <w:rPr>
                <w:rFonts w:ascii="Arial" w:hAnsi="Arial" w:cs="Arial"/>
                <w:sz w:val="20"/>
                <w:szCs w:val="20"/>
                <w:lang w:val="es-MX"/>
              </w:rPr>
              <w:t xml:space="preserve">ubicada en Ciudad Administrativa Benemérito de las Américas Edificio 7, nivel 1, Carretera Oaxaca-Istmo Km. 11.5 </w:t>
            </w:r>
            <w:proofErr w:type="spellStart"/>
            <w:r w:rsidRPr="00023F2E">
              <w:rPr>
                <w:rFonts w:ascii="Arial" w:hAnsi="Arial" w:cs="Arial"/>
                <w:sz w:val="20"/>
                <w:szCs w:val="20"/>
                <w:lang w:val="es-MX"/>
              </w:rPr>
              <w:t>Tlalixta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>c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 de Cabrera, Oaxaca C.P. 68270.</w:t>
            </w:r>
          </w:p>
          <w:p w:rsidR="00023F2E" w:rsidRDefault="00023F2E" w:rsidP="00023F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023F2E" w:rsidRPr="006A103E" w:rsidRDefault="00023F2E" w:rsidP="00023F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6A103E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Número telefónico: </w:t>
            </w:r>
          </w:p>
          <w:p w:rsidR="00023F2E" w:rsidRDefault="00023F2E" w:rsidP="00023F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023F2E">
              <w:rPr>
                <w:rFonts w:ascii="Arial" w:hAnsi="Arial" w:cs="Arial"/>
                <w:sz w:val="20"/>
                <w:szCs w:val="20"/>
                <w:lang w:val="es-MX"/>
              </w:rPr>
              <w:t xml:space="preserve">(951) 50 150 00 ext. 11631, correos </w:t>
            </w:r>
          </w:p>
          <w:p w:rsidR="00023F2E" w:rsidRDefault="00023F2E" w:rsidP="00023F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023F2E" w:rsidRDefault="00023F2E" w:rsidP="00023F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Correo </w:t>
            </w:r>
            <w:r w:rsidRPr="00A00CE0">
              <w:rPr>
                <w:rFonts w:ascii="Arial" w:hAnsi="Arial" w:cs="Arial"/>
                <w:b/>
                <w:sz w:val="20"/>
                <w:szCs w:val="20"/>
                <w:lang w:val="es-MX"/>
              </w:rPr>
              <w:t>electrónico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: </w:t>
            </w:r>
            <w:r w:rsidRPr="00023F2E">
              <w:rPr>
                <w:rFonts w:ascii="Arial" w:hAnsi="Arial" w:cs="Arial"/>
                <w:sz w:val="20"/>
                <w:szCs w:val="20"/>
                <w:lang w:val="es-MX"/>
              </w:rPr>
              <w:t>periodicooficialoax@outlook.com</w:t>
            </w:r>
          </w:p>
          <w:p w:rsidR="00023F2E" w:rsidRDefault="00023F2E" w:rsidP="00023F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023F2E">
              <w:rPr>
                <w:rFonts w:ascii="Arial" w:hAnsi="Arial" w:cs="Arial"/>
                <w:sz w:val="20"/>
                <w:szCs w:val="20"/>
                <w:lang w:val="es-MX"/>
              </w:rPr>
              <w:t>unidaddetransparenciacj@gmail.com</w:t>
            </w:r>
          </w:p>
          <w:p w:rsidR="00023F2E" w:rsidRDefault="00023F2E" w:rsidP="00023F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023F2E" w:rsidRDefault="00023F2E" w:rsidP="00023F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023F2E">
              <w:rPr>
                <w:rFonts w:ascii="Arial" w:hAnsi="Arial" w:cs="Arial"/>
                <w:sz w:val="20"/>
                <w:szCs w:val="20"/>
                <w:lang w:val="es-MX"/>
              </w:rPr>
              <w:t xml:space="preserve">con el Lic. Mario Jiménez Noriega, Jefe de la Unidad del Periódico Oficial del Gobierno del Estado de Oaxaca. </w:t>
            </w:r>
          </w:p>
          <w:p w:rsidR="00023F2E" w:rsidRDefault="00023F2E" w:rsidP="00023F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023F2E" w:rsidRDefault="00023F2E" w:rsidP="00023F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023F2E" w:rsidRDefault="00023F2E" w:rsidP="00023F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>H</w:t>
            </w:r>
            <w:r w:rsidRPr="00A00CE0">
              <w:rPr>
                <w:rFonts w:ascii="Arial" w:hAnsi="Arial" w:cs="Arial"/>
                <w:b/>
                <w:sz w:val="20"/>
                <w:szCs w:val="20"/>
                <w:lang w:val="es-MX"/>
              </w:rPr>
              <w:t>orario de atención al público</w:t>
            </w:r>
            <w:r w:rsidRPr="006A103E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</w:p>
          <w:p w:rsidR="00023F2E" w:rsidRPr="00023F2E" w:rsidRDefault="00023F2E" w:rsidP="00023F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D</w:t>
            </w:r>
            <w:r w:rsidRPr="00023F2E">
              <w:rPr>
                <w:rFonts w:ascii="Arial" w:hAnsi="Arial" w:cs="Arial"/>
                <w:sz w:val="20"/>
                <w:szCs w:val="20"/>
                <w:lang w:val="es-MX"/>
              </w:rPr>
              <w:t xml:space="preserve">e 9:00 a 15:00 horas de lunes a viernes. </w:t>
            </w:r>
          </w:p>
          <w:p w:rsidR="00023F2E" w:rsidRPr="00023F2E" w:rsidRDefault="00023F2E" w:rsidP="00023F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023F2E" w:rsidRPr="00023F2E" w:rsidRDefault="00023F2E" w:rsidP="00023F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023F2E">
              <w:rPr>
                <w:rFonts w:ascii="Arial" w:hAnsi="Arial" w:cs="Arial"/>
                <w:sz w:val="20"/>
                <w:szCs w:val="20"/>
                <w:lang w:val="es-MX"/>
              </w:rPr>
              <w:t xml:space="preserve">Atentamente </w:t>
            </w:r>
          </w:p>
          <w:p w:rsidR="00023F2E" w:rsidRPr="00023F2E" w:rsidRDefault="00023F2E" w:rsidP="00023F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023F2E" w:rsidRPr="00023F2E" w:rsidRDefault="00023F2E" w:rsidP="00023F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023F2E">
              <w:rPr>
                <w:rFonts w:ascii="Arial" w:hAnsi="Arial" w:cs="Arial"/>
                <w:sz w:val="20"/>
                <w:szCs w:val="20"/>
                <w:lang w:val="es-MX"/>
              </w:rPr>
              <w:t>C. Joaquín Omar Rodríguez García</w:t>
            </w:r>
          </w:p>
          <w:p w:rsidR="003E460C" w:rsidRPr="006A103E" w:rsidRDefault="00023F2E" w:rsidP="00023F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highlight w:val="yellow"/>
                <w:lang w:val="es-MX"/>
              </w:rPr>
            </w:pPr>
            <w:r w:rsidRPr="00023F2E">
              <w:rPr>
                <w:rFonts w:ascii="Arial" w:hAnsi="Arial" w:cs="Arial"/>
                <w:sz w:val="20"/>
                <w:szCs w:val="20"/>
                <w:lang w:val="es-MX"/>
              </w:rPr>
              <w:t>Responsable de la Unidad de Transparencia</w:t>
            </w:r>
          </w:p>
        </w:tc>
        <w:tc>
          <w:tcPr>
            <w:tcW w:w="1725" w:type="dxa"/>
          </w:tcPr>
          <w:p w:rsidR="003E460C" w:rsidRPr="00E628E7" w:rsidRDefault="00ED33BB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E628E7">
              <w:rPr>
                <w:rFonts w:ascii="Arial" w:hAnsi="Arial" w:cs="Arial"/>
                <w:b/>
                <w:sz w:val="20"/>
                <w:szCs w:val="20"/>
              </w:rPr>
              <w:t>Elaboración</w:t>
            </w:r>
            <w:proofErr w:type="spellEnd"/>
            <w:r w:rsidRPr="00E628E7">
              <w:rPr>
                <w:rFonts w:ascii="Arial" w:hAnsi="Arial" w:cs="Arial"/>
                <w:b/>
                <w:sz w:val="20"/>
                <w:szCs w:val="20"/>
              </w:rPr>
              <w:t xml:space="preserve"> de </w:t>
            </w:r>
            <w:proofErr w:type="spellStart"/>
            <w:r w:rsidRPr="00E628E7">
              <w:rPr>
                <w:rFonts w:ascii="Arial" w:hAnsi="Arial" w:cs="Arial"/>
                <w:b/>
                <w:sz w:val="20"/>
                <w:szCs w:val="20"/>
              </w:rPr>
              <w:t>respuesta</w:t>
            </w:r>
            <w:proofErr w:type="spellEnd"/>
            <w:r w:rsidRPr="00E628E7">
              <w:rPr>
                <w:rFonts w:ascii="Arial" w:hAnsi="Arial" w:cs="Arial"/>
                <w:b/>
                <w:sz w:val="20"/>
                <w:szCs w:val="20"/>
              </w:rPr>
              <w:t xml:space="preserve"> final</w:t>
            </w:r>
          </w:p>
          <w:p w:rsidR="003E460C" w:rsidRDefault="003C7919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023F2E">
              <w:rPr>
                <w:rFonts w:ascii="Arial" w:hAnsi="Arial" w:cs="Arial"/>
                <w:sz w:val="20"/>
                <w:szCs w:val="20"/>
              </w:rPr>
              <w:t>/12</w:t>
            </w:r>
            <w:r w:rsidR="00ED33BB">
              <w:rPr>
                <w:rFonts w:ascii="Arial" w:hAnsi="Arial" w:cs="Arial"/>
                <w:sz w:val="20"/>
                <w:szCs w:val="20"/>
              </w:rPr>
              <w:t>/2021</w:t>
            </w:r>
          </w:p>
          <w:p w:rsidR="003E460C" w:rsidRDefault="003E460C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3E460C" w:rsidRDefault="003E46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0" w:type="dxa"/>
          </w:tcPr>
          <w:p w:rsidR="003E460C" w:rsidRDefault="003E46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E460C" w:rsidRDefault="00ED33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C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onfirma</w:t>
            </w:r>
            <w:proofErr w:type="spellEnd"/>
          </w:p>
          <w:p w:rsidR="003E460C" w:rsidRDefault="003E460C">
            <w:pPr>
              <w:rPr>
                <w:rFonts w:ascii="Arial" w:hAnsi="Arial" w:cs="Arial"/>
                <w:sz w:val="20"/>
                <w:szCs w:val="20"/>
              </w:rPr>
            </w:pPr>
          </w:p>
          <w:p w:rsidR="003E460C" w:rsidRDefault="003E460C">
            <w:pPr>
              <w:rPr>
                <w:rFonts w:ascii="Arial" w:hAnsi="Arial" w:cs="Arial"/>
                <w:sz w:val="20"/>
                <w:szCs w:val="20"/>
              </w:rPr>
            </w:pPr>
          </w:p>
          <w:p w:rsidR="003E460C" w:rsidRDefault="003E460C">
            <w:pPr>
              <w:rPr>
                <w:rFonts w:ascii="Arial" w:hAnsi="Arial" w:cs="Arial"/>
                <w:sz w:val="20"/>
                <w:szCs w:val="20"/>
              </w:rPr>
            </w:pPr>
          </w:p>
          <w:p w:rsidR="003E460C" w:rsidRDefault="003E460C">
            <w:pPr>
              <w:rPr>
                <w:rFonts w:ascii="Arial" w:hAnsi="Arial" w:cs="Arial"/>
                <w:sz w:val="20"/>
                <w:szCs w:val="20"/>
              </w:rPr>
            </w:pPr>
          </w:p>
          <w:p w:rsidR="003E460C" w:rsidRDefault="003E460C">
            <w:pPr>
              <w:rPr>
                <w:rFonts w:ascii="Arial" w:hAnsi="Arial" w:cs="Arial"/>
                <w:sz w:val="20"/>
                <w:szCs w:val="20"/>
              </w:rPr>
            </w:pPr>
          </w:p>
          <w:p w:rsidR="003E460C" w:rsidRDefault="003E460C">
            <w:pPr>
              <w:rPr>
                <w:rFonts w:ascii="Arial" w:hAnsi="Arial" w:cs="Arial"/>
                <w:sz w:val="20"/>
                <w:szCs w:val="20"/>
              </w:rPr>
            </w:pPr>
          </w:p>
          <w:p w:rsidR="003E460C" w:rsidRDefault="003E460C">
            <w:pPr>
              <w:rPr>
                <w:rFonts w:ascii="Arial" w:hAnsi="Arial" w:cs="Arial"/>
                <w:sz w:val="20"/>
                <w:szCs w:val="20"/>
              </w:rPr>
            </w:pPr>
          </w:p>
          <w:p w:rsidR="003E460C" w:rsidRDefault="003E460C">
            <w:pPr>
              <w:rPr>
                <w:rFonts w:ascii="Arial" w:hAnsi="Arial" w:cs="Arial"/>
                <w:sz w:val="20"/>
                <w:szCs w:val="20"/>
              </w:rPr>
            </w:pPr>
          </w:p>
          <w:p w:rsidR="003E460C" w:rsidRDefault="003E460C">
            <w:pPr>
              <w:rPr>
                <w:rFonts w:ascii="Arial" w:hAnsi="Arial" w:cs="Arial"/>
                <w:sz w:val="20"/>
                <w:szCs w:val="20"/>
              </w:rPr>
            </w:pPr>
          </w:p>
          <w:p w:rsidR="003E460C" w:rsidRDefault="003E460C">
            <w:pPr>
              <w:rPr>
                <w:rFonts w:ascii="Arial" w:hAnsi="Arial" w:cs="Arial"/>
                <w:sz w:val="20"/>
                <w:szCs w:val="20"/>
              </w:rPr>
            </w:pPr>
          </w:p>
          <w:p w:rsidR="003E460C" w:rsidRDefault="003E460C">
            <w:pPr>
              <w:rPr>
                <w:rFonts w:ascii="Arial" w:hAnsi="Arial" w:cs="Arial"/>
                <w:sz w:val="20"/>
                <w:szCs w:val="20"/>
              </w:rPr>
            </w:pPr>
          </w:p>
          <w:p w:rsidR="003E460C" w:rsidRDefault="003E460C">
            <w:pPr>
              <w:rPr>
                <w:rFonts w:ascii="Arial" w:hAnsi="Arial" w:cs="Arial"/>
                <w:sz w:val="20"/>
                <w:szCs w:val="20"/>
              </w:rPr>
            </w:pPr>
          </w:p>
          <w:p w:rsidR="003E460C" w:rsidRDefault="003E460C">
            <w:pPr>
              <w:rPr>
                <w:rFonts w:ascii="Arial" w:hAnsi="Arial" w:cs="Arial"/>
                <w:sz w:val="20"/>
                <w:szCs w:val="20"/>
              </w:rPr>
            </w:pPr>
          </w:p>
          <w:p w:rsidR="003E460C" w:rsidRDefault="003E460C">
            <w:pPr>
              <w:rPr>
                <w:rFonts w:ascii="Arial" w:hAnsi="Arial" w:cs="Arial"/>
                <w:sz w:val="20"/>
                <w:szCs w:val="20"/>
              </w:rPr>
            </w:pPr>
          </w:p>
          <w:p w:rsidR="003E460C" w:rsidRDefault="003E460C">
            <w:pPr>
              <w:rPr>
                <w:rFonts w:ascii="Arial" w:hAnsi="Arial" w:cs="Arial"/>
                <w:sz w:val="20"/>
                <w:szCs w:val="20"/>
              </w:rPr>
            </w:pPr>
          </w:p>
          <w:p w:rsidR="003E460C" w:rsidRDefault="003E460C">
            <w:pPr>
              <w:rPr>
                <w:rFonts w:ascii="Arial" w:hAnsi="Arial" w:cs="Arial"/>
                <w:sz w:val="20"/>
                <w:szCs w:val="20"/>
              </w:rPr>
            </w:pPr>
          </w:p>
          <w:p w:rsidR="003E460C" w:rsidRDefault="003E460C">
            <w:pPr>
              <w:rPr>
                <w:rFonts w:ascii="Arial" w:hAnsi="Arial" w:cs="Arial"/>
                <w:sz w:val="20"/>
                <w:szCs w:val="20"/>
              </w:rPr>
            </w:pPr>
          </w:p>
          <w:p w:rsidR="003E460C" w:rsidRDefault="003E460C">
            <w:pPr>
              <w:rPr>
                <w:rFonts w:ascii="Arial" w:hAnsi="Arial" w:cs="Arial"/>
                <w:sz w:val="20"/>
                <w:szCs w:val="20"/>
              </w:rPr>
            </w:pPr>
          </w:p>
          <w:p w:rsidR="003E460C" w:rsidRDefault="003E460C">
            <w:pPr>
              <w:rPr>
                <w:rFonts w:ascii="Arial" w:hAnsi="Arial" w:cs="Arial"/>
                <w:sz w:val="20"/>
                <w:szCs w:val="20"/>
              </w:rPr>
            </w:pPr>
          </w:p>
          <w:p w:rsidR="003E460C" w:rsidRDefault="003E46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E460C">
        <w:tc>
          <w:tcPr>
            <w:tcW w:w="6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460C" w:rsidRPr="00735DC0" w:rsidRDefault="003E46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460C" w:rsidRPr="00735DC0" w:rsidRDefault="003E46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E460C" w:rsidRPr="00735DC0" w:rsidRDefault="003E46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725" w:type="dxa"/>
            <w:tcBorders>
              <w:left w:val="single" w:sz="4" w:space="0" w:color="auto"/>
            </w:tcBorders>
            <w:vAlign w:val="center"/>
          </w:tcPr>
          <w:p w:rsidR="003E460C" w:rsidRDefault="00ED33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410" w:type="dxa"/>
            <w:vAlign w:val="center"/>
          </w:tcPr>
          <w:p w:rsidR="003E460C" w:rsidRDefault="00435A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</w:tbl>
    <w:p w:rsidR="00135888" w:rsidRDefault="00135888">
      <w:pPr>
        <w:spacing w:line="276" w:lineRule="auto"/>
        <w:jc w:val="both"/>
        <w:rPr>
          <w:rFonts w:ascii="Arial" w:eastAsia="Times New Roman" w:hAnsi="Arial" w:cs="Arial"/>
          <w:sz w:val="22"/>
          <w:szCs w:val="22"/>
        </w:rPr>
      </w:pPr>
    </w:p>
    <w:p w:rsidR="003E460C" w:rsidRDefault="00ED33B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Por todo lo anterior y en atención a la </w:t>
      </w:r>
      <w:r>
        <w:rPr>
          <w:rFonts w:ascii="Arial" w:hAnsi="Arial" w:cs="Arial"/>
          <w:sz w:val="22"/>
          <w:szCs w:val="22"/>
        </w:rPr>
        <w:t>determinación de la Unidad de Transparencia</w:t>
      </w:r>
      <w:r>
        <w:rPr>
          <w:rFonts w:ascii="Arial" w:eastAsia="Times New Roman" w:hAnsi="Arial" w:cs="Arial"/>
          <w:sz w:val="22"/>
          <w:szCs w:val="22"/>
        </w:rPr>
        <w:t xml:space="preserve">, este cuerpo colegiado determina el </w:t>
      </w:r>
      <w:r w:rsidR="00F02228">
        <w:rPr>
          <w:rFonts w:ascii="Arial" w:eastAsia="Times New Roman" w:hAnsi="Arial" w:cs="Arial"/>
          <w:sz w:val="22"/>
          <w:szCs w:val="22"/>
        </w:rPr>
        <w:t>siguiente</w:t>
      </w:r>
      <w:r w:rsidR="00F02228">
        <w:rPr>
          <w:rFonts w:ascii="Arial" w:hAnsi="Arial" w:cs="Arial"/>
          <w:sz w:val="22"/>
          <w:szCs w:val="22"/>
        </w:rPr>
        <w:t>: -</w:t>
      </w:r>
      <w:r>
        <w:rPr>
          <w:rFonts w:ascii="Arial" w:hAnsi="Arial" w:cs="Arial"/>
          <w:sz w:val="22"/>
          <w:szCs w:val="22"/>
        </w:rPr>
        <w:t xml:space="preserve"> - - - - - - - - - - - - - - - - - - - - - - - - - - - - - - - - - - - </w:t>
      </w:r>
    </w:p>
    <w:p w:rsidR="003E460C" w:rsidRDefault="003E460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E460C" w:rsidRDefault="00ED33B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ACUERDO:</w:t>
      </w:r>
    </w:p>
    <w:p w:rsidR="003E460C" w:rsidRDefault="003E460C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3E460C" w:rsidRDefault="00ED33B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PRIMERO:</w:t>
      </w:r>
      <w:r>
        <w:rPr>
          <w:rFonts w:ascii="Arial" w:hAnsi="Arial" w:cs="Arial"/>
          <w:sz w:val="22"/>
          <w:szCs w:val="22"/>
        </w:rPr>
        <w:t xml:space="preserve"> Se </w:t>
      </w:r>
      <w:r>
        <w:rPr>
          <w:rFonts w:ascii="Arial" w:hAnsi="Arial" w:cs="Arial"/>
          <w:b/>
          <w:bCs/>
          <w:sz w:val="22"/>
          <w:szCs w:val="22"/>
        </w:rPr>
        <w:t>CONFIRMA</w:t>
      </w:r>
      <w:r>
        <w:rPr>
          <w:rFonts w:ascii="Arial" w:hAnsi="Arial" w:cs="Arial"/>
          <w:sz w:val="22"/>
          <w:szCs w:val="22"/>
        </w:rPr>
        <w:t xml:space="preserve"> la declaratoria de incompetencia y</w:t>
      </w:r>
      <w:r>
        <w:rPr>
          <w:rFonts w:ascii="Arial" w:hAnsi="Arial" w:cs="Arial"/>
          <w:color w:val="FF000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orientación presentada por la Unidad de Transparencia respecto de la solicitud de acceso a la información o de derechos ARCO</w:t>
      </w:r>
      <w:r w:rsidR="00DE3F38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, identificada</w:t>
      </w:r>
      <w:r w:rsidR="0062618A">
        <w:rPr>
          <w:rFonts w:ascii="Arial" w:hAnsi="Arial" w:cs="Arial"/>
          <w:sz w:val="22"/>
          <w:szCs w:val="22"/>
        </w:rPr>
        <w:t xml:space="preserve"> con el</w:t>
      </w:r>
      <w:r>
        <w:rPr>
          <w:rFonts w:ascii="Arial" w:hAnsi="Arial" w:cs="Arial"/>
          <w:sz w:val="22"/>
          <w:szCs w:val="22"/>
        </w:rPr>
        <w:t xml:space="preserve"> número de folio </w:t>
      </w:r>
      <w:r w:rsidR="00C21F32">
        <w:rPr>
          <w:rFonts w:ascii="Arial" w:hAnsi="Arial" w:cs="Arial"/>
          <w:b/>
          <w:bCs/>
          <w:color w:val="000000"/>
          <w:sz w:val="20"/>
          <w:szCs w:val="20"/>
        </w:rPr>
        <w:t>202728521000019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. 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- - - - - - - - - - - </w:t>
      </w:r>
      <w:r w:rsidR="0062618A">
        <w:rPr>
          <w:rFonts w:ascii="Arial" w:hAnsi="Arial" w:cs="Arial"/>
          <w:bCs/>
          <w:color w:val="000000"/>
          <w:sz w:val="22"/>
          <w:szCs w:val="22"/>
        </w:rPr>
        <w:t>- - -</w:t>
      </w:r>
    </w:p>
    <w:p w:rsidR="00F02228" w:rsidRPr="00E628E7" w:rsidRDefault="00F0222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E460C" w:rsidRDefault="00ED33B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SEGUNDO:</w:t>
      </w:r>
      <w:r>
        <w:rPr>
          <w:rFonts w:ascii="Arial" w:hAnsi="Arial" w:cs="Arial"/>
          <w:sz w:val="22"/>
          <w:szCs w:val="22"/>
        </w:rPr>
        <w:t xml:space="preserve"> La Secretaría Ejecutiva del Comité de Transparencia de este Órgano Garante registrará el presente acuerdo en el rubro correspondiente del </w:t>
      </w:r>
      <w:r>
        <w:rPr>
          <w:rFonts w:ascii="Arial" w:eastAsia="Times New Roman" w:hAnsi="Arial" w:cs="Arial"/>
          <w:bCs/>
          <w:sz w:val="22"/>
          <w:szCs w:val="22"/>
        </w:rPr>
        <w:t>Sistema de Solicitudes de Información del Estado de Oaxaca de la Plataforma Nacional de Transparencia c</w:t>
      </w:r>
      <w:r>
        <w:rPr>
          <w:rFonts w:ascii="Arial" w:hAnsi="Arial" w:cs="Arial"/>
          <w:sz w:val="22"/>
          <w:szCs w:val="22"/>
        </w:rPr>
        <w:t xml:space="preserve">uyo usuario y contraseña se encuentran bajo su resguardo. - - - - - - - - - - - - - - - - - - - - - - - - - - </w:t>
      </w:r>
      <w:r w:rsidR="00F02228">
        <w:rPr>
          <w:rFonts w:ascii="Arial" w:hAnsi="Arial" w:cs="Arial"/>
          <w:sz w:val="22"/>
          <w:szCs w:val="22"/>
        </w:rPr>
        <w:t xml:space="preserve"> </w:t>
      </w:r>
    </w:p>
    <w:p w:rsidR="00F02228" w:rsidRDefault="00F0222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E460C" w:rsidRDefault="00ED33B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TERCERO:</w:t>
      </w:r>
      <w:r>
        <w:rPr>
          <w:rFonts w:ascii="Arial" w:hAnsi="Arial" w:cs="Arial"/>
          <w:sz w:val="22"/>
          <w:szCs w:val="22"/>
        </w:rPr>
        <w:t xml:space="preserve"> Se instruye a la Secretaría Ejecutiva de este Comité de Transparencia realice los procedimientos para la publicación y actualización a que se refiere la fracción XXXIX del </w:t>
      </w:r>
      <w:r>
        <w:rPr>
          <w:rFonts w:ascii="Arial" w:hAnsi="Arial" w:cs="Arial"/>
          <w:sz w:val="22"/>
          <w:szCs w:val="22"/>
        </w:rPr>
        <w:lastRenderedPageBreak/>
        <w:t xml:space="preserve">artículo 70 de la Ley General en los sistemas electrónicos correspondientes. - - - - - - - - - - </w:t>
      </w:r>
    </w:p>
    <w:p w:rsidR="0062618A" w:rsidRDefault="0062618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E3F38" w:rsidRDefault="00ED33B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Así lo acordó, por unanimidad de votos, el Comité de Transparencia del </w:t>
      </w:r>
      <w:r>
        <w:rPr>
          <w:rFonts w:ascii="Arial" w:eastAsia="Calibri" w:hAnsi="Arial" w:cs="Arial"/>
          <w:sz w:val="22"/>
          <w:szCs w:val="22"/>
        </w:rPr>
        <w:t>Órgano Garante de Acceso a la Información Pública, Transparencia, Protección de Datos Personales y Buen Gobierno del Estado de Oaxaca,</w:t>
      </w:r>
      <w:r>
        <w:rPr>
          <w:rFonts w:ascii="Arial" w:hAnsi="Arial" w:cs="Arial"/>
          <w:sz w:val="22"/>
          <w:szCs w:val="22"/>
        </w:rPr>
        <w:t xml:space="preserve"> firmando sus integrantes al calce y margen, en la ciudad de Oaxaca de Juárez, Oaxaca, mediante la </w:t>
      </w:r>
      <w:r w:rsidR="00C21F32">
        <w:rPr>
          <w:rFonts w:ascii="Arial" w:hAnsi="Arial" w:cs="Arial"/>
          <w:sz w:val="22"/>
          <w:szCs w:val="22"/>
        </w:rPr>
        <w:t>Sexta</w:t>
      </w:r>
      <w:r>
        <w:rPr>
          <w:rFonts w:ascii="Arial" w:hAnsi="Arial" w:cs="Arial"/>
          <w:sz w:val="22"/>
          <w:szCs w:val="22"/>
        </w:rPr>
        <w:t xml:space="preserve"> Sesión Extraordinaria del Comité de Transparencia, el </w:t>
      </w:r>
      <w:r w:rsidR="003C7919">
        <w:rPr>
          <w:rFonts w:ascii="Arial" w:hAnsi="Arial" w:cs="Arial"/>
          <w:sz w:val="22"/>
          <w:szCs w:val="22"/>
        </w:rPr>
        <w:t>diez</w:t>
      </w:r>
      <w:r>
        <w:rPr>
          <w:rFonts w:ascii="Arial" w:hAnsi="Arial" w:cs="Arial"/>
          <w:sz w:val="22"/>
          <w:szCs w:val="22"/>
        </w:rPr>
        <w:t xml:space="preserve"> de </w:t>
      </w:r>
      <w:r w:rsidR="0062618A">
        <w:rPr>
          <w:rFonts w:ascii="Arial" w:hAnsi="Arial" w:cs="Arial"/>
          <w:sz w:val="22"/>
          <w:szCs w:val="22"/>
        </w:rPr>
        <w:t>diciembre</w:t>
      </w:r>
      <w:r>
        <w:rPr>
          <w:rFonts w:ascii="Arial" w:hAnsi="Arial" w:cs="Arial"/>
          <w:sz w:val="22"/>
          <w:szCs w:val="22"/>
        </w:rPr>
        <w:t xml:space="preserve"> del dos mil veintiuno para los efectos a que haya lugar. CONSTE. - - - - - - - - - - - - - - - - - - - - - - - - - - - - - - - - - - - - - - - - - - - - - - - - - - - - - -</w:t>
      </w:r>
      <w:r w:rsidR="0062618A">
        <w:rPr>
          <w:rFonts w:ascii="Arial" w:hAnsi="Arial" w:cs="Arial"/>
          <w:sz w:val="22"/>
          <w:szCs w:val="22"/>
        </w:rPr>
        <w:t xml:space="preserve"> - - - - </w:t>
      </w:r>
    </w:p>
    <w:p w:rsidR="00DE3F38" w:rsidRDefault="00DE3F3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E460C" w:rsidRDefault="00ED33BB" w:rsidP="00A00CE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</w:p>
    <w:p w:rsidR="00E628E7" w:rsidRDefault="0062618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A00CE0" w:rsidRDefault="00A00CE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A00CE0" w:rsidRDefault="00A00CE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62618A" w:rsidRDefault="0062618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62618A" w:rsidRDefault="0062618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3E460C" w:rsidRDefault="003E460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3E460C" w:rsidRDefault="003E460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3E460C" w:rsidRDefault="00ED33B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C. Luis Alberto Pavón Mercado.</w:t>
      </w:r>
    </w:p>
    <w:p w:rsidR="003E460C" w:rsidRDefault="00ED33B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Presidente.</w:t>
      </w:r>
    </w:p>
    <w:p w:rsidR="00DE3F38" w:rsidRDefault="00DE3F3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3E460C" w:rsidRDefault="003E460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3E460C" w:rsidRDefault="003E460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428"/>
        <w:gridCol w:w="4320"/>
      </w:tblGrid>
      <w:tr w:rsidR="003E460C">
        <w:trPr>
          <w:jc w:val="center"/>
        </w:trPr>
        <w:tc>
          <w:tcPr>
            <w:tcW w:w="4428" w:type="dxa"/>
            <w:tcMar>
              <w:top w:w="0" w:type="dxa"/>
              <w:right w:w="0" w:type="dxa"/>
            </w:tcMar>
            <w:vAlign w:val="center"/>
          </w:tcPr>
          <w:p w:rsidR="003E460C" w:rsidRDefault="003E46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E3F38" w:rsidRDefault="00DE3F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2618A" w:rsidRDefault="006261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3E460C" w:rsidRDefault="003E46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2618A" w:rsidRDefault="006261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3E460C" w:rsidRDefault="003E46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3E460C" w:rsidRDefault="00ED33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C. Carlos Bautista Rojas.</w:t>
            </w:r>
          </w:p>
          <w:p w:rsidR="003E460C" w:rsidRDefault="00ED33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Secretario Ejecutivo.</w:t>
            </w:r>
          </w:p>
        </w:tc>
        <w:tc>
          <w:tcPr>
            <w:tcW w:w="4320" w:type="dxa"/>
            <w:tcMar>
              <w:top w:w="0" w:type="dxa"/>
              <w:right w:w="0" w:type="dxa"/>
            </w:tcMar>
            <w:vAlign w:val="center"/>
          </w:tcPr>
          <w:p w:rsidR="003E460C" w:rsidRDefault="003E46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3E460C" w:rsidRDefault="003E46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E3F38" w:rsidRDefault="00DE3F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E3F38" w:rsidRDefault="00DE3F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2618A" w:rsidRDefault="006261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EB7D5B" w:rsidRDefault="00EB7D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EB7D5B" w:rsidRDefault="00ED33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</w:t>
            </w:r>
          </w:p>
          <w:p w:rsidR="003E460C" w:rsidRDefault="00ED33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C. Mildred Fabiola Estrada Rubio.</w:t>
            </w:r>
          </w:p>
          <w:p w:rsidR="003E460C" w:rsidRDefault="00ED33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Vocal Primero.</w:t>
            </w:r>
          </w:p>
          <w:p w:rsidR="003E460C" w:rsidRDefault="003E46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460C">
        <w:trPr>
          <w:jc w:val="center"/>
        </w:trPr>
        <w:tc>
          <w:tcPr>
            <w:tcW w:w="4428" w:type="dxa"/>
            <w:tcMar>
              <w:top w:w="0" w:type="dxa"/>
              <w:right w:w="0" w:type="dxa"/>
            </w:tcMar>
            <w:vAlign w:val="center"/>
          </w:tcPr>
          <w:p w:rsidR="003E460C" w:rsidRDefault="003E46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3E460C" w:rsidRDefault="003E46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3E460C" w:rsidRDefault="003E46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3E460C" w:rsidRDefault="003E46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DE3F38" w:rsidRDefault="00DE3F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DE3F38" w:rsidRDefault="00DE3F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3E460C" w:rsidRDefault="003E46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62618A" w:rsidRDefault="006261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3E460C" w:rsidRDefault="003E46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  <w:tcMar>
              <w:top w:w="0" w:type="dxa"/>
              <w:right w:w="0" w:type="dxa"/>
            </w:tcMar>
            <w:vAlign w:val="center"/>
          </w:tcPr>
          <w:p w:rsidR="003E460C" w:rsidRDefault="003E46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DE3F38" w:rsidRDefault="00DE3F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DE3F38" w:rsidRDefault="00DE3F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3E460C" w:rsidRDefault="003E46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460C">
        <w:trPr>
          <w:jc w:val="center"/>
        </w:trPr>
        <w:tc>
          <w:tcPr>
            <w:tcW w:w="4428" w:type="dxa"/>
            <w:tcMar>
              <w:top w:w="0" w:type="dxa"/>
              <w:right w:w="0" w:type="dxa"/>
            </w:tcMar>
            <w:vAlign w:val="center"/>
          </w:tcPr>
          <w:p w:rsidR="003E460C" w:rsidRDefault="00ED33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C.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Arturo Torres Pérez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                                      </w:t>
            </w:r>
            <w:r>
              <w:rPr>
                <w:rFonts w:ascii="Arial" w:hAnsi="Arial" w:cs="Arial"/>
                <w:sz w:val="22"/>
                <w:szCs w:val="22"/>
              </w:rPr>
              <w:t>Vocal Segundo.</w:t>
            </w:r>
          </w:p>
        </w:tc>
        <w:tc>
          <w:tcPr>
            <w:tcW w:w="4320" w:type="dxa"/>
            <w:tcMar>
              <w:top w:w="0" w:type="dxa"/>
              <w:right w:w="0" w:type="dxa"/>
            </w:tcMar>
            <w:vAlign w:val="center"/>
          </w:tcPr>
          <w:p w:rsidR="003E460C" w:rsidRDefault="00ED33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C. Jorge Fausto Bustamante García.</w:t>
            </w:r>
          </w:p>
          <w:p w:rsidR="003E460C" w:rsidRDefault="00ED33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   Comisario.</w:t>
            </w:r>
          </w:p>
        </w:tc>
      </w:tr>
    </w:tbl>
    <w:p w:rsidR="003E460C" w:rsidRDefault="003E460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sectPr w:rsidR="003E460C">
      <w:headerReference w:type="default" r:id="rId9"/>
      <w:pgSz w:w="12240" w:h="20160"/>
      <w:pgMar w:top="1985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4C47" w:rsidRDefault="00E84C47">
      <w:r>
        <w:separator/>
      </w:r>
    </w:p>
  </w:endnote>
  <w:endnote w:type="continuationSeparator" w:id="0">
    <w:p w:rsidR="00E84C47" w:rsidRDefault="00E84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00"/>
    <w:family w:val="auto"/>
    <w:pitch w:val="default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4C47" w:rsidRDefault="00E84C47">
      <w:r>
        <w:separator/>
      </w:r>
    </w:p>
  </w:footnote>
  <w:footnote w:type="continuationSeparator" w:id="0">
    <w:p w:rsidR="00E84C47" w:rsidRDefault="00E84C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D8C" w:rsidRDefault="00601D8C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2715260</wp:posOffset>
          </wp:positionH>
          <wp:positionV relativeFrom="paragraph">
            <wp:posOffset>5147310</wp:posOffset>
          </wp:positionV>
          <wp:extent cx="6790690" cy="113157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6200000">
                    <a:off x="0" y="0"/>
                    <a:ext cx="6790677" cy="11317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-280035</wp:posOffset>
          </wp:positionH>
          <wp:positionV relativeFrom="paragraph">
            <wp:posOffset>-181610</wp:posOffset>
          </wp:positionV>
          <wp:extent cx="6173470" cy="1028700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3343" cy="10288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1251E7"/>
    <w:multiLevelType w:val="hybridMultilevel"/>
    <w:tmpl w:val="86B8EAD6"/>
    <w:lvl w:ilvl="0" w:tplc="E3526ACC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0000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193A61"/>
    <w:multiLevelType w:val="hybridMultilevel"/>
    <w:tmpl w:val="7632D588"/>
    <w:lvl w:ilvl="0" w:tplc="F4A02AF6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074"/>
    <w:rsid w:val="00000E3B"/>
    <w:rsid w:val="00023F2E"/>
    <w:rsid w:val="00075AB7"/>
    <w:rsid w:val="000C136A"/>
    <w:rsid w:val="000E5F57"/>
    <w:rsid w:val="00113301"/>
    <w:rsid w:val="00135888"/>
    <w:rsid w:val="00150315"/>
    <w:rsid w:val="00191709"/>
    <w:rsid w:val="001C3A24"/>
    <w:rsid w:val="001C5977"/>
    <w:rsid w:val="001D30EE"/>
    <w:rsid w:val="002060F1"/>
    <w:rsid w:val="00274A3D"/>
    <w:rsid w:val="002924DF"/>
    <w:rsid w:val="002C7033"/>
    <w:rsid w:val="002D152B"/>
    <w:rsid w:val="002D5F28"/>
    <w:rsid w:val="00320B59"/>
    <w:rsid w:val="00321EE0"/>
    <w:rsid w:val="003333CC"/>
    <w:rsid w:val="00333C24"/>
    <w:rsid w:val="0037163E"/>
    <w:rsid w:val="003C4903"/>
    <w:rsid w:val="003C55CB"/>
    <w:rsid w:val="003C7919"/>
    <w:rsid w:val="003D3C59"/>
    <w:rsid w:val="003E0522"/>
    <w:rsid w:val="003E460C"/>
    <w:rsid w:val="003F7C21"/>
    <w:rsid w:val="00415A9D"/>
    <w:rsid w:val="00435A03"/>
    <w:rsid w:val="00496B6A"/>
    <w:rsid w:val="00505074"/>
    <w:rsid w:val="005F6794"/>
    <w:rsid w:val="00601D8C"/>
    <w:rsid w:val="0061401C"/>
    <w:rsid w:val="006153A9"/>
    <w:rsid w:val="0062618A"/>
    <w:rsid w:val="00641D31"/>
    <w:rsid w:val="006647D2"/>
    <w:rsid w:val="006A103E"/>
    <w:rsid w:val="006D0F68"/>
    <w:rsid w:val="00735DC0"/>
    <w:rsid w:val="007C0373"/>
    <w:rsid w:val="007D16FF"/>
    <w:rsid w:val="00801920"/>
    <w:rsid w:val="00853FDE"/>
    <w:rsid w:val="00870593"/>
    <w:rsid w:val="00876E8D"/>
    <w:rsid w:val="009100C6"/>
    <w:rsid w:val="00920943"/>
    <w:rsid w:val="00936B24"/>
    <w:rsid w:val="00944126"/>
    <w:rsid w:val="009D6F4B"/>
    <w:rsid w:val="00A00CE0"/>
    <w:rsid w:val="00A13809"/>
    <w:rsid w:val="00A31065"/>
    <w:rsid w:val="00A54C30"/>
    <w:rsid w:val="00A56332"/>
    <w:rsid w:val="00A6181A"/>
    <w:rsid w:val="00C07082"/>
    <w:rsid w:val="00C21F32"/>
    <w:rsid w:val="00C25E29"/>
    <w:rsid w:val="00C335F7"/>
    <w:rsid w:val="00C61AB6"/>
    <w:rsid w:val="00CB7833"/>
    <w:rsid w:val="00CB7CA8"/>
    <w:rsid w:val="00CC05E7"/>
    <w:rsid w:val="00CC70E2"/>
    <w:rsid w:val="00D96B13"/>
    <w:rsid w:val="00DB094D"/>
    <w:rsid w:val="00DC0B0F"/>
    <w:rsid w:val="00DC10C2"/>
    <w:rsid w:val="00DC1402"/>
    <w:rsid w:val="00DC65C4"/>
    <w:rsid w:val="00DE3F38"/>
    <w:rsid w:val="00E110BA"/>
    <w:rsid w:val="00E12FA4"/>
    <w:rsid w:val="00E628E7"/>
    <w:rsid w:val="00E76D34"/>
    <w:rsid w:val="00E84C47"/>
    <w:rsid w:val="00EB7D5B"/>
    <w:rsid w:val="00ED33BB"/>
    <w:rsid w:val="00EE48C4"/>
    <w:rsid w:val="00F02228"/>
    <w:rsid w:val="00F023FE"/>
    <w:rsid w:val="00F0252E"/>
    <w:rsid w:val="00F36284"/>
    <w:rsid w:val="00F41E79"/>
    <w:rsid w:val="00F56F58"/>
    <w:rsid w:val="00F70106"/>
    <w:rsid w:val="00F854FE"/>
    <w:rsid w:val="08D62F86"/>
    <w:rsid w:val="0FE369AD"/>
    <w:rsid w:val="23875D64"/>
    <w:rsid w:val="2D171356"/>
    <w:rsid w:val="4185174B"/>
    <w:rsid w:val="68123201"/>
    <w:rsid w:val="6CF125D3"/>
    <w:rsid w:val="6FAE6091"/>
    <w:rsid w:val="797E6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CDD8F2"/>
  <w15:docId w15:val="{E4653199-B31D-4627-BA95-8A44CD4E9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ar"/>
    <w:uiPriority w:val="9"/>
    <w:qFormat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Pr>
      <w:rFonts w:ascii="Times New Roman" w:hAnsi="Times New Roman" w:cs="Times New Roman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qFormat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uiPriority w:val="99"/>
    <w:semiHidden/>
    <w:unhideWhenUsed/>
    <w:qFormat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paragraph" w:styleId="Piedepgina">
    <w:name w:val="footer"/>
    <w:basedOn w:val="Normal"/>
    <w:link w:val="PiedepginaCar"/>
    <w:uiPriority w:val="99"/>
    <w:unhideWhenUsed/>
    <w:qFormat/>
    <w:pPr>
      <w:tabs>
        <w:tab w:val="center" w:pos="4419"/>
        <w:tab w:val="right" w:pos="8838"/>
      </w:tabs>
    </w:pPr>
  </w:style>
  <w:style w:type="table" w:styleId="Tablaconcuadrcula">
    <w:name w:val="Table Grid"/>
    <w:basedOn w:val="Tablanormal"/>
    <w:uiPriority w:val="59"/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basedOn w:val="Fuentedeprrafopredeter"/>
    <w:link w:val="Encabezado"/>
    <w:uiPriority w:val="99"/>
    <w:qFormat/>
  </w:style>
  <w:style w:type="character" w:customStyle="1" w:styleId="PiedepginaCar">
    <w:name w:val="Pie de página Car"/>
    <w:basedOn w:val="Fuentedeprrafopredeter"/>
    <w:link w:val="Piedepgina"/>
    <w:uiPriority w:val="99"/>
    <w:qFormat/>
  </w:style>
  <w:style w:type="character" w:customStyle="1" w:styleId="Ttulo2Car">
    <w:name w:val="Título 2 Car"/>
    <w:basedOn w:val="Fuentedeprrafopredeter"/>
    <w:link w:val="Ttulo2"/>
    <w:uiPriority w:val="9"/>
    <w:qFormat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Pr>
      <w:rFonts w:ascii="Times New Roman" w:hAnsi="Times New Roman" w:cs="Times New Roman"/>
      <w:sz w:val="18"/>
      <w:szCs w:val="18"/>
    </w:rPr>
  </w:style>
  <w:style w:type="paragraph" w:styleId="Sinespaciado">
    <w:name w:val="No Spacing"/>
    <w:uiPriority w:val="1"/>
    <w:qFormat/>
    <w:rPr>
      <w:sz w:val="24"/>
      <w:szCs w:val="24"/>
      <w:lang w:eastAsia="en-US"/>
    </w:rPr>
  </w:style>
  <w:style w:type="character" w:styleId="Hipervnculo">
    <w:name w:val="Hyperlink"/>
    <w:basedOn w:val="Fuentedeprrafopredeter"/>
    <w:uiPriority w:val="99"/>
    <w:unhideWhenUsed/>
    <w:rsid w:val="00735DC0"/>
    <w:rPr>
      <w:color w:val="0563C1" w:themeColor="hyperlink"/>
      <w:u w:val="single"/>
    </w:rPr>
  </w:style>
  <w:style w:type="paragraph" w:styleId="Prrafodelista">
    <w:name w:val="List Paragraph"/>
    <w:basedOn w:val="Normal"/>
    <w:uiPriority w:val="99"/>
    <w:rsid w:val="00F022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27A4D37-33FC-4EAC-8901-4EAF838F9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718</TotalTime>
  <Pages>3</Pages>
  <Words>922</Words>
  <Characters>5076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Difusión Iaipo</dc:creator>
  <cp:lastModifiedBy>Usuario de Windows</cp:lastModifiedBy>
  <cp:revision>14</cp:revision>
  <cp:lastPrinted>2021-12-10T20:58:00Z</cp:lastPrinted>
  <dcterms:created xsi:type="dcterms:W3CDTF">2021-11-19T16:47:00Z</dcterms:created>
  <dcterms:modified xsi:type="dcterms:W3CDTF">2021-12-10T21:00:00Z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2058-11.2.0.10351</vt:lpwstr>
  </property>
  <property fmtid="{D5CDD505-2E9C-101B-9397-08002B2CF9AE}" pid="3" name="ICV">
    <vt:lpwstr>31E1EEDFFFEA443EA93D00E9FA5B27C3</vt:lpwstr>
  </property>
</Properties>
</file>