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4CDB4285" w:rsidR="00AA78CA" w:rsidRPr="00D82BC3" w:rsidRDefault="0017734C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ACUERDO/OGAIPO/CT/07</w:t>
      </w:r>
      <w:r w:rsidR="00AA78CA" w:rsidRPr="00D82BC3">
        <w:rPr>
          <w:rFonts w:ascii="Arial" w:hAnsi="Arial" w:cs="Arial"/>
          <w:b/>
          <w:bCs/>
        </w:rPr>
        <w:t xml:space="preserve">/2022 POR EL CUAL EL COMITÉ DE TRANSPARENCIA DE ESTE ÓRGANO GARANTE, CONFIRMA, MODIFICA O REVOCA LA DECLARATORIA DE INCOMPETENCIA Y ORIENTACIÓN QUE EMITE LA UNIDAD DE TRANSPARENCIA, RESPECTO DE LAS SOLICITUDES DE ACCESO A LA INFORMACIÓN PÚBLICA Y DE DERECHOS </w:t>
      </w:r>
      <w:proofErr w:type="gramStart"/>
      <w:r w:rsidR="00AA78CA" w:rsidRPr="00D82BC3">
        <w:rPr>
          <w:rFonts w:ascii="Arial" w:hAnsi="Arial" w:cs="Arial"/>
          <w:b/>
          <w:bCs/>
        </w:rPr>
        <w:t>ARCOP.</w:t>
      </w:r>
      <w:r w:rsidR="0055206D">
        <w:rPr>
          <w:rFonts w:ascii="Arial" w:hAnsi="Arial" w:cs="Arial"/>
          <w:b/>
          <w:bCs/>
        </w:rPr>
        <w:t>-</w:t>
      </w:r>
      <w:proofErr w:type="gramEnd"/>
      <w:r w:rsidR="0055206D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F664D3D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3CF83F5" w14:textId="55E4B7F5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17734C">
        <w:rPr>
          <w:rFonts w:ascii="Arial" w:eastAsia="Calibri" w:hAnsi="Arial" w:cs="Arial"/>
        </w:rPr>
        <w:t xml:space="preserve"> </w:t>
      </w:r>
      <w:r w:rsidR="00E40C6C">
        <w:rPr>
          <w:rFonts w:ascii="Arial" w:eastAsia="Calibri" w:hAnsi="Arial" w:cs="Arial"/>
        </w:rPr>
        <w:t>l</w:t>
      </w:r>
      <w:r w:rsidR="0017734C">
        <w:rPr>
          <w:rFonts w:ascii="Arial" w:eastAsia="Calibri" w:hAnsi="Arial" w:cs="Arial"/>
        </w:rPr>
        <w:t>os</w:t>
      </w:r>
      <w:r w:rsidRPr="00D82BC3">
        <w:rPr>
          <w:rFonts w:ascii="Arial" w:eastAsia="Calibri" w:hAnsi="Arial" w:cs="Arial"/>
        </w:rPr>
        <w:t xml:space="preserve"> oficio</w:t>
      </w:r>
      <w:r w:rsidR="0017734C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número: </w:t>
      </w:r>
      <w:r w:rsidR="0017734C">
        <w:rPr>
          <w:rFonts w:ascii="Arial" w:eastAsia="Calibri" w:hAnsi="Arial" w:cs="Arial"/>
          <w:b/>
          <w:bCs/>
        </w:rPr>
        <w:t>OGAIPO/UT/053</w:t>
      </w:r>
      <w:r w:rsidRPr="00D82BC3">
        <w:rPr>
          <w:rFonts w:ascii="Arial" w:eastAsia="Calibri" w:hAnsi="Arial" w:cs="Arial"/>
          <w:b/>
          <w:bCs/>
        </w:rPr>
        <w:t>/2022</w:t>
      </w:r>
      <w:r w:rsidR="0017734C">
        <w:rPr>
          <w:rFonts w:ascii="Arial" w:eastAsia="Calibri" w:hAnsi="Arial" w:cs="Arial"/>
          <w:b/>
          <w:bCs/>
        </w:rPr>
        <w:t>,</w:t>
      </w:r>
      <w:r w:rsidR="00CF76AC">
        <w:rPr>
          <w:rFonts w:ascii="Arial" w:eastAsia="Calibri" w:hAnsi="Arial" w:cs="Arial"/>
          <w:b/>
          <w:bCs/>
        </w:rPr>
        <w:t xml:space="preserve"> OGAIPO/UT/054</w:t>
      </w:r>
      <w:r w:rsidR="00CF76AC" w:rsidRPr="00D82BC3">
        <w:rPr>
          <w:rFonts w:ascii="Arial" w:eastAsia="Calibri" w:hAnsi="Arial" w:cs="Arial"/>
          <w:b/>
          <w:bCs/>
        </w:rPr>
        <w:t>/2022</w:t>
      </w:r>
      <w:r w:rsidR="000F1F8C">
        <w:rPr>
          <w:rFonts w:ascii="Arial" w:eastAsia="Calibri" w:hAnsi="Arial" w:cs="Arial"/>
          <w:b/>
          <w:bCs/>
        </w:rPr>
        <w:t xml:space="preserve">, </w:t>
      </w:r>
      <w:r w:rsidR="009F797C">
        <w:rPr>
          <w:rFonts w:ascii="Arial" w:eastAsia="Calibri" w:hAnsi="Arial" w:cs="Arial"/>
          <w:b/>
          <w:bCs/>
        </w:rPr>
        <w:t>OGAIPO/UT/063</w:t>
      </w:r>
      <w:r w:rsidR="000F1F8C" w:rsidRPr="00D82BC3">
        <w:rPr>
          <w:rFonts w:ascii="Arial" w:eastAsia="Calibri" w:hAnsi="Arial" w:cs="Arial"/>
          <w:b/>
          <w:bCs/>
        </w:rPr>
        <w:t>/2022</w:t>
      </w:r>
      <w:r w:rsidR="000F1F8C">
        <w:rPr>
          <w:rFonts w:ascii="Arial" w:eastAsia="Calibri" w:hAnsi="Arial" w:cs="Arial"/>
          <w:b/>
          <w:bCs/>
        </w:rPr>
        <w:t xml:space="preserve"> y</w:t>
      </w:r>
      <w:r w:rsidR="009F797C">
        <w:rPr>
          <w:rFonts w:ascii="Arial" w:eastAsia="Calibri" w:hAnsi="Arial" w:cs="Arial"/>
          <w:b/>
          <w:bCs/>
        </w:rPr>
        <w:t xml:space="preserve"> OGAIPO/UT/065</w:t>
      </w:r>
      <w:r w:rsidR="009F797C" w:rsidRPr="00D82BC3">
        <w:rPr>
          <w:rFonts w:ascii="Arial" w:eastAsia="Calibri" w:hAnsi="Arial" w:cs="Arial"/>
          <w:b/>
          <w:bCs/>
        </w:rPr>
        <w:t>/2022</w:t>
      </w:r>
      <w:r w:rsidR="009F797C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>recibido</w:t>
      </w:r>
      <w:r w:rsidR="009F797C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 </w:t>
      </w:r>
      <w:r w:rsidR="009F797C">
        <w:rPr>
          <w:rFonts w:ascii="Arial" w:eastAsia="Calibri" w:hAnsi="Arial" w:cs="Arial"/>
        </w:rPr>
        <w:t>nueve de febrero</w:t>
      </w:r>
      <w:r w:rsidR="00101015">
        <w:rPr>
          <w:rFonts w:ascii="Arial" w:eastAsia="Calibri" w:hAnsi="Arial" w:cs="Arial"/>
        </w:rPr>
        <w:t xml:space="preserve"> de 2022 </w:t>
      </w:r>
      <w:r w:rsidR="00FF74A7">
        <w:rPr>
          <w:rFonts w:ascii="Arial" w:eastAsia="Calibri" w:hAnsi="Arial" w:cs="Arial"/>
        </w:rPr>
        <w:t xml:space="preserve">y </w:t>
      </w:r>
      <w:r w:rsidR="00FF74A7" w:rsidRPr="00FF74A7">
        <w:rPr>
          <w:rFonts w:ascii="Arial" w:eastAsia="Calibri" w:hAnsi="Arial" w:cs="Arial"/>
          <w:b/>
        </w:rPr>
        <w:t>OGAIPO</w:t>
      </w:r>
      <w:r w:rsidR="00101015" w:rsidRPr="00FF74A7">
        <w:rPr>
          <w:rFonts w:ascii="Arial" w:eastAsia="Calibri" w:hAnsi="Arial" w:cs="Arial"/>
          <w:b/>
          <w:bCs/>
        </w:rPr>
        <w:t>/</w:t>
      </w:r>
      <w:r w:rsidR="00101015">
        <w:rPr>
          <w:rFonts w:ascii="Arial" w:eastAsia="Calibri" w:hAnsi="Arial" w:cs="Arial"/>
          <w:b/>
          <w:bCs/>
        </w:rPr>
        <w:t>UT/070</w:t>
      </w:r>
      <w:r w:rsidR="00101015" w:rsidRPr="00D82BC3">
        <w:rPr>
          <w:rFonts w:ascii="Arial" w:eastAsia="Calibri" w:hAnsi="Arial" w:cs="Arial"/>
          <w:b/>
          <w:bCs/>
        </w:rPr>
        <w:t>/2022</w:t>
      </w:r>
      <w:r w:rsidR="00101015">
        <w:rPr>
          <w:rFonts w:ascii="Arial" w:eastAsia="Calibri" w:hAnsi="Arial" w:cs="Arial"/>
          <w:b/>
          <w:bCs/>
        </w:rPr>
        <w:t xml:space="preserve"> </w:t>
      </w:r>
      <w:r w:rsidR="00101015" w:rsidRPr="00101015">
        <w:rPr>
          <w:rFonts w:ascii="Arial" w:eastAsia="Calibri" w:hAnsi="Arial" w:cs="Arial"/>
          <w:bCs/>
        </w:rPr>
        <w:t>recibido el</w:t>
      </w:r>
      <w:r w:rsidR="00101015">
        <w:rPr>
          <w:rFonts w:ascii="Arial" w:eastAsia="Calibri" w:hAnsi="Arial" w:cs="Arial"/>
          <w:b/>
          <w:bCs/>
        </w:rPr>
        <w:t xml:space="preserve"> </w:t>
      </w:r>
      <w:r w:rsidR="00101015">
        <w:rPr>
          <w:rFonts w:ascii="Arial" w:eastAsia="Calibri" w:hAnsi="Arial" w:cs="Arial"/>
        </w:rPr>
        <w:t xml:space="preserve">diez de febrero del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Pr="00D82BC3">
        <w:rPr>
          <w:rFonts w:ascii="Arial" w:eastAsia="Calibri" w:hAnsi="Arial" w:cs="Arial"/>
        </w:rPr>
        <w:t xml:space="preserve"> - -  - - - </w:t>
      </w:r>
    </w:p>
    <w:p w14:paraId="2624FBCA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2F731CE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72F6ACDF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D841F5E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0B45DEC" w14:textId="45F6482C" w:rsidR="00C422FB" w:rsidRDefault="00C422FB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43B8718" w14:textId="77777777" w:rsidR="00C422FB" w:rsidRPr="00755A3B" w:rsidRDefault="00C422FB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0BBB2BAE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17734C" w:rsidRPr="0017734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202728522000026</w:t>
            </w:r>
          </w:p>
          <w:p w14:paraId="53601325" w14:textId="77777777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77777777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79C43AEA" w:rsidR="00AA78CA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FEDA9CE" w14:textId="0C5524A9" w:rsidR="00E40C6C" w:rsidRDefault="0017734C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Solicito por este medio referente a la nómina completa del H. Ayuntamiento de Santo Domingo Zanatepec, Oaxaca 2022 – 2024. Lista completa de trabajadores por </w:t>
            </w:r>
            <w:r w:rsidRPr="006E10C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cargo</w:t>
            </w:r>
            <w:r w:rsidR="006E10C3" w:rsidRPr="006E10C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 w:rsidRPr="006E10C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y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el monto que devengan en cada puesto.</w:t>
            </w:r>
            <w:r w:rsidR="00861F1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(sic)</w:t>
            </w:r>
          </w:p>
          <w:p w14:paraId="21060BA3" w14:textId="290C2AC0" w:rsidR="0017734C" w:rsidRDefault="0017734C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2D0C2B8" w14:textId="77777777" w:rsidR="0017734C" w:rsidRDefault="0017734C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FD6667F" w:rsidR="00AA78CA" w:rsidRPr="00726266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61AAD751" w14:textId="77777777" w:rsidR="00AA78CA" w:rsidRPr="00726266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155F34C" w14:textId="77777777" w:rsidR="0017734C" w:rsidRPr="00506B62" w:rsidRDefault="0017734C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06B62">
              <w:rPr>
                <w:rFonts w:ascii="Arial" w:hAnsi="Arial" w:cs="Arial"/>
                <w:b/>
                <w:sz w:val="24"/>
                <w:szCs w:val="24"/>
                <w:lang w:val="es-MX"/>
              </w:rPr>
              <w:t>Estimado(a) solicitante:</w:t>
            </w:r>
          </w:p>
          <w:p w14:paraId="09639E27" w14:textId="77777777" w:rsidR="0017734C" w:rsidRPr="0017734C" w:rsidRDefault="0017734C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506B62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las Unidades de Transparencia de los Sujetos obligados competentes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4DB6F53D" w14:textId="3231383B" w:rsidR="0017734C" w:rsidRDefault="0017734C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2546FBB6" w14:textId="77777777" w:rsidR="00506B62" w:rsidRPr="0017734C" w:rsidRDefault="00506B62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5F12D6" w14:textId="77777777" w:rsidR="00506B62" w:rsidRDefault="0017734C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06B62">
              <w:rPr>
                <w:rFonts w:ascii="Arial" w:hAnsi="Arial" w:cs="Arial"/>
                <w:b/>
                <w:sz w:val="24"/>
                <w:szCs w:val="24"/>
                <w:lang w:val="es-MX"/>
              </w:rPr>
              <w:t>H. AYUNTAMIENTO DE SANTO DOMINGO ZANATEPEC, OAXACA</w:t>
            </w: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2D8C5E2D" w14:textId="77777777" w:rsidR="00506B62" w:rsidRDefault="00506B62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DB205" w14:textId="77777777" w:rsidR="00506B62" w:rsidRDefault="00506B62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U</w:t>
            </w:r>
            <w:r w:rsidR="0017734C"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bicada en Domicilio Conocido, Palacio Municipal, Centro Santo Domingo Zanatepec, Oaxaca; C.P. 70160. </w:t>
            </w:r>
            <w:r w:rsidR="0017734C" w:rsidRPr="00506B62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  <w:r w:rsidR="0017734C"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321AEC44" w14:textId="368987A9" w:rsidR="00F52D43" w:rsidRDefault="00F52D43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994 721 0074</w:t>
            </w:r>
          </w:p>
          <w:p w14:paraId="552626ED" w14:textId="77777777" w:rsidR="00F52D43" w:rsidRDefault="00F52D43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EB1267" w14:textId="44A92E2F" w:rsidR="0017734C" w:rsidRPr="0017734C" w:rsidRDefault="00F52D43" w:rsidP="00F52D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17734C"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electrónico:</w:t>
            </w:r>
            <w:r w:rsidR="0017734C"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 migusto_esyes@hotmail.co</w:t>
            </w:r>
            <w:r w:rsidR="0017734C" w:rsidRPr="0017734C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m, con la persona Responsable de la Unidad de Transparencia o autoridad competente. Se adjunta archivo. </w:t>
            </w:r>
          </w:p>
          <w:p w14:paraId="1B2DF32E" w14:textId="77777777" w:rsidR="0017734C" w:rsidRPr="0017734C" w:rsidRDefault="0017734C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4CD6E5A1" w14:textId="77777777" w:rsidR="0017734C" w:rsidRPr="0017734C" w:rsidRDefault="0017734C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343AFC" w14:textId="77777777" w:rsidR="0017734C" w:rsidRPr="0017734C" w:rsidRDefault="0017734C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4DC7CC28" w:rsidR="00AA78CA" w:rsidRPr="0017734C" w:rsidRDefault="0017734C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60DBBAA0" w:rsidR="00AA78CA" w:rsidRPr="00D82BC3" w:rsidRDefault="00101015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/02/2022</w:t>
            </w:r>
          </w:p>
          <w:p w14:paraId="5CBA55D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9F797C" w:rsidRPr="00755A3B" w14:paraId="080444F0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494207CD" w14:textId="237F05B8" w:rsidR="009F797C" w:rsidRPr="00755A3B" w:rsidRDefault="009F797C" w:rsidP="009F7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9A4B866" w14:textId="4C1181CE" w:rsidR="009F797C" w:rsidRPr="00726266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202728522000027</w:t>
            </w:r>
          </w:p>
          <w:p w14:paraId="4F431006" w14:textId="77777777" w:rsidR="009F797C" w:rsidRPr="00726266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ACA9064" w14:textId="10B48CC4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798904DB" w14:textId="75FE64EE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B72EA49" w14:textId="52A5A07E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Por este medio solicito a usted, muy atentamente, EL INVENTARIO Y DESPLAZAMIENTOS  de MEDICAMENTOS Y MATERIAL DE CURACIÓN DEL PERIODO DEL 01 DE ENERO DE 2022 AL 31 DE ENERO DE 2022, dicha entrega de información debe contener: Nombre de</w:t>
            </w:r>
            <w:r w:rsidR="006E10C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la Entidad Federativa, Clave de Cuadro Básico y Diferencial, Descripción, Nombre comercial del Medicamento, Número de Piezas, Precio Unitario, Importe, Proveedor, Tipo de Compra (licitación, Adjudicación, Invitación), CLUES SOLICITAMOS DE LA MANERA MÁS ATENTA DICHA INFORMACI</w:t>
            </w:r>
            <w:r w:rsidR="006E10C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ÓN SEA ENVIADA EN FORMATO DE HOJ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 DE CALCULO DE EXCEL.</w:t>
            </w:r>
            <w:r w:rsidR="00861F1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(sic)</w:t>
            </w:r>
          </w:p>
          <w:p w14:paraId="099711E3" w14:textId="552C7376" w:rsidR="009F797C" w:rsidRPr="00726266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7EBCB2EF" w14:textId="77777777" w:rsidR="009F797C" w:rsidRPr="00726266" w:rsidRDefault="009F797C" w:rsidP="008C6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0532197F" w14:textId="77777777" w:rsidR="009F797C" w:rsidRPr="0017734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EE35127" w14:textId="77777777" w:rsidR="009F797C" w:rsidRP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01AD1725" w14:textId="77777777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las Unidades de Transparencia de los Sujetos obligados competentes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67F34015" w14:textId="77777777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>Por lo anterior, el Sujeto Obligado que puede ser competente para dar respuesta a su solicitud de acceso a la información pública, es el siguiente:</w:t>
            </w:r>
          </w:p>
          <w:p w14:paraId="685D8EFA" w14:textId="51D15D40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067319D7" w14:textId="77777777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SERVICIOS DE SALUD DE OAXACA</w:t>
            </w:r>
          </w:p>
          <w:p w14:paraId="71FE92AB" w14:textId="77777777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F52D43">
              <w:rPr>
                <w:rFonts w:ascii="Arial" w:hAnsi="Arial" w:cs="Arial"/>
                <w:sz w:val="24"/>
                <w:szCs w:val="24"/>
                <w:lang w:val="es-MX"/>
              </w:rPr>
              <w:t>U</w:t>
            </w: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bicada en Avenida Independencia #407, Colonia Centro, Oaxaca de Juárez, Oaxaca; C.P. 68000. </w:t>
            </w:r>
          </w:p>
          <w:p w14:paraId="7F371D00" w14:textId="77777777" w:rsidR="00F52D43" w:rsidRDefault="009F797C" w:rsidP="00F52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Número telefónico:</w:t>
            </w:r>
          </w:p>
          <w:p w14:paraId="3F7981AC" w14:textId="77777777" w:rsidR="00F52D43" w:rsidRDefault="009F797C" w:rsidP="00F52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 9515017600 extensión 139</w:t>
            </w:r>
            <w:r w:rsidR="00F52D43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3D555112" w14:textId="77777777" w:rsidR="00F52D43" w:rsidRDefault="009F797C" w:rsidP="00F52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electrónico:</w:t>
            </w:r>
          </w:p>
          <w:p w14:paraId="3C6B494C" w14:textId="77777777" w:rsidR="00F52D43" w:rsidRDefault="009F797C" w:rsidP="00F52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F52D43"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>sesoriajusso1@hotmail.com, con la persona Responsable de la Unidad de Transparencia.</w:t>
            </w:r>
          </w:p>
          <w:p w14:paraId="2236ABAB" w14:textId="05BC0134" w:rsidR="00F52D43" w:rsidRDefault="009F797C" w:rsidP="00F52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F52D43"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 al público</w:t>
            </w:r>
            <w:r w:rsidR="00F52D43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6842F0ED" w14:textId="6E7731C2" w:rsidR="009F797C" w:rsidRDefault="00F52D43" w:rsidP="00F52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9F797C"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15:00 horas, de lunes a viernes.  Se adjunta archivo. </w:t>
            </w:r>
          </w:p>
          <w:p w14:paraId="6DBCBF03" w14:textId="77777777" w:rsidR="00F52D43" w:rsidRPr="0017734C" w:rsidRDefault="00F52D43" w:rsidP="00F52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219859" w14:textId="77777777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02DE8FE3" w14:textId="77777777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42AD31" w14:textId="77777777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E08BE54" w14:textId="2BFAED59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17734C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42304129" w14:textId="77777777" w:rsidR="009F797C" w:rsidRPr="00D82BC3" w:rsidRDefault="009F797C" w:rsidP="009F797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04086C1" w14:textId="7C4CDF8D" w:rsidR="009F797C" w:rsidRPr="00D82BC3" w:rsidRDefault="00101015" w:rsidP="009F797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/02/2022</w:t>
            </w:r>
          </w:p>
          <w:p w14:paraId="567E712E" w14:textId="77777777" w:rsidR="009F797C" w:rsidRPr="00755A3B" w:rsidRDefault="009F797C" w:rsidP="009F797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607A8843" w14:textId="77777777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76" w:type="dxa"/>
          </w:tcPr>
          <w:p w14:paraId="4BC8CE19" w14:textId="77777777" w:rsidR="009F797C" w:rsidRPr="00D82BC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1976D7F" w14:textId="77777777" w:rsidR="009F797C" w:rsidRPr="00D82BC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595087DD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1790454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A7B23B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6D3F41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2059F9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286DE0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0C0659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5C6FEE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B3ED102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E50183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77B284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084712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9B6491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6DDF26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1691CA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4E3DC2F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82BCD5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931557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A67BE7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CA53F8" w14:textId="77777777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9F797C" w:rsidRPr="00755A3B" w14:paraId="5028AA4F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643DF07B" w14:textId="2EC75204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lastRenderedPageBreak/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DDF435C" w14:textId="308D6AA6" w:rsidR="009F797C" w:rsidRPr="00726266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202728522000032</w:t>
            </w:r>
          </w:p>
          <w:p w14:paraId="6927FBE8" w14:textId="77777777" w:rsidR="009F797C" w:rsidRPr="00726266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DF7EB2B" w14:textId="13296EBB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3789AA8A" w14:textId="5B648D91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B97E5B8" w14:textId="5CBFD73B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Cuántas personas migrantes fueron reportadas como desaparecidas o ausentes en el 2020 y en el 2021 en el Estado de Oaxaca, desglosar el dato por municipio, por mes y género.</w:t>
            </w:r>
          </w:p>
          <w:p w14:paraId="668794F6" w14:textId="127076F8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6E10C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Cuánta</w:t>
            </w:r>
            <w:r w:rsidR="006E10C3" w:rsidRPr="006E10C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de estas personas fueron localizadas con vida, cuántas fueron encontradas muertas a la fecha; desglosar el dato por municipio, mes y género.</w:t>
            </w:r>
            <w:r w:rsidR="00861F1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(sic).</w:t>
            </w:r>
          </w:p>
          <w:p w14:paraId="5C9E85EC" w14:textId="742A1DCC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EC61193" w14:textId="14CA41B5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E476CC9" w14:textId="00EB4F4B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E4D9B54" w14:textId="6FDE7E64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45C17B0" w14:textId="77777777" w:rsidR="009F797C" w:rsidRPr="00726266" w:rsidRDefault="009F797C" w:rsidP="008C6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45A3B558" w14:textId="77777777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9EF2D83" w14:textId="71721A97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1731395" w14:textId="77777777" w:rsidR="009F797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3F78F9" w14:textId="77777777" w:rsidR="009F797C" w:rsidRPr="0017734C" w:rsidRDefault="009F797C" w:rsidP="008C664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09FD2AC" w14:textId="77777777" w:rsidR="009F797C" w:rsidRP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Estimado(a) solicitante:</w:t>
            </w:r>
          </w:p>
          <w:p w14:paraId="4E61DB30" w14:textId="77777777" w:rsidR="009F797C" w:rsidRPr="00CF76A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las Unidades de Transparencia de los Sujetos obligados competentes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41E21CA2" w14:textId="77777777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los Sujetos Obligados que pueden ser competentes para dar respuesta a su solicitud de </w:t>
            </w: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acceso a la información pública, son los siguientes:</w:t>
            </w:r>
          </w:p>
          <w:p w14:paraId="1B229DF3" w14:textId="1BC078AC" w:rsidR="009F797C" w:rsidRPr="00CF76A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551989F6" w14:textId="77777777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INSTITUTO OAXAQUEÑO DE ATENCIÓN AL MIGRANTE</w:t>
            </w:r>
          </w:p>
          <w:p w14:paraId="0658757E" w14:textId="77777777" w:rsidR="00F52D43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U</w:t>
            </w:r>
            <w:r w:rsidR="009F797C"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bicada en Carretera Internacional Oaxaca-Istmo Km. 11.5 S/N, Edificio 5 Planta Baja, Ciudad Administrativa, Tlalixtac de Cabrera, Oaxaca; C.P. 68270. </w:t>
            </w:r>
          </w:p>
          <w:p w14:paraId="227EA5E1" w14:textId="77777777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</w:p>
          <w:p w14:paraId="6FE5B31B" w14:textId="77777777" w:rsidR="00F52D43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9515015000 extensión 12102.</w:t>
            </w:r>
          </w:p>
          <w:p w14:paraId="45270FF9" w14:textId="77777777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electrónico:</w:t>
            </w:r>
          </w:p>
          <w:p w14:paraId="38C95121" w14:textId="77777777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 claudia.jimenez@oaxaca.gob.mx, con la persona Responsable de la Unidad de Transparencia.</w:t>
            </w:r>
          </w:p>
          <w:p w14:paraId="03DB7AFD" w14:textId="0FA02A9A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F52D43"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 al público</w:t>
            </w:r>
            <w:r w:rsid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14:paraId="1A124121" w14:textId="36CD3E18" w:rsidR="009F797C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9F797C"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17:00 horas, de lunes a viernes. </w:t>
            </w:r>
          </w:p>
          <w:p w14:paraId="7AD3E11A" w14:textId="46C15893" w:rsidR="00F52D43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FD23D" w14:textId="77777777" w:rsidR="00F52D43" w:rsidRPr="00CF76AC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FDB92F" w14:textId="77777777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FISCALÍA GENERAL DEL ESTADO DE OAXACA</w:t>
            </w:r>
            <w:r w:rsidR="00F52D43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132F8A32" w14:textId="77777777" w:rsidR="00F52D43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U</w:t>
            </w:r>
            <w:r w:rsidR="009F797C"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bicada en Avenida Gerardo </w:t>
            </w:r>
            <w:proofErr w:type="spellStart"/>
            <w:r w:rsidR="009F797C" w:rsidRPr="00CF76AC">
              <w:rPr>
                <w:rFonts w:ascii="Arial" w:hAnsi="Arial" w:cs="Arial"/>
                <w:sz w:val="24"/>
                <w:szCs w:val="24"/>
                <w:lang w:val="es-MX"/>
              </w:rPr>
              <w:t>Pandal</w:t>
            </w:r>
            <w:proofErr w:type="spellEnd"/>
            <w:r w:rsidR="009F797C"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9F797C" w:rsidRPr="00CF76AC">
              <w:rPr>
                <w:rFonts w:ascii="Arial" w:hAnsi="Arial" w:cs="Arial"/>
                <w:sz w:val="24"/>
                <w:szCs w:val="24"/>
                <w:lang w:val="es-MX"/>
              </w:rPr>
              <w:t>Graff</w:t>
            </w:r>
            <w:proofErr w:type="spellEnd"/>
            <w:r w:rsidR="009F797C"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 número uno, Fraccionamiento Reyes Mantecón San Bartolo Coyotepec, Oaxaca; C.P. 71257. </w:t>
            </w:r>
          </w:p>
          <w:p w14:paraId="38AFB75C" w14:textId="77777777" w:rsidR="00F52D43" w:rsidRP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</w:p>
          <w:p w14:paraId="72BC5F89" w14:textId="7EE654F5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 951 5016900 extensiones 217775 y 21758</w:t>
            </w:r>
            <w:r w:rsidR="00F52D43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655632AA" w14:textId="77777777" w:rsidR="00F52D43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47A126" w14:textId="2BC666BD" w:rsidR="00F52D43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</w:t>
            </w:r>
            <w:r w:rsidR="009F797C"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orreo electrónico</w:t>
            </w:r>
            <w:r w:rsidR="009F797C" w:rsidRPr="00CF76AC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33E127B2" w14:textId="77777777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 utransparencia.fgeo@gmail.com, con la persona Responsable de la Unidad de Transparencia. </w:t>
            </w:r>
          </w:p>
          <w:p w14:paraId="0DF60184" w14:textId="4BA6CBD9" w:rsidR="00F52D43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="009F797C"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 al público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14:paraId="49595E43" w14:textId="30E51CD8" w:rsidR="009F797C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9F797C"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17:00 horas, de lunes a viernes. </w:t>
            </w:r>
          </w:p>
          <w:p w14:paraId="609051F3" w14:textId="77777777" w:rsidR="00F52D43" w:rsidRPr="00CF76AC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5C52A4" w14:textId="77777777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INSTITUTO NACIONAL DE MIGRACIÓN</w:t>
            </w:r>
            <w:r w:rsidR="00F52D43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63FB4BB2" w14:textId="77777777" w:rsidR="00F52D43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U</w:t>
            </w:r>
            <w:r w:rsidR="009F797C"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bicada en Avenida Homero #1832 Planta Baja y Piso 10, Colonia Los Morales Polanco, Alcaldía </w:t>
            </w:r>
            <w:r w:rsidR="009F797C" w:rsidRPr="00CF76AC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Miguel Hidalgo; C.P. 11510. </w:t>
            </w:r>
            <w:r w:rsidR="009F797C"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</w:p>
          <w:p w14:paraId="0EE071B4" w14:textId="50599370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 53872400 extensión</w:t>
            </w:r>
            <w:r w:rsidR="00F52D43">
              <w:rPr>
                <w:rFonts w:ascii="Arial" w:hAnsi="Arial" w:cs="Arial"/>
                <w:sz w:val="24"/>
                <w:szCs w:val="24"/>
                <w:lang w:val="es-MX"/>
              </w:rPr>
              <w:t xml:space="preserve"> 18403.</w:t>
            </w:r>
          </w:p>
          <w:p w14:paraId="177A04A9" w14:textId="77777777" w:rsidR="00F52D43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646391" w14:textId="77777777" w:rsidR="00F52D43" w:rsidRPr="00F52D43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C</w:t>
            </w:r>
            <w:r w:rsidR="009F797C"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orreo electrónico:</w:t>
            </w:r>
          </w:p>
          <w:p w14:paraId="0182D381" w14:textId="77777777" w:rsid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 modulodeaccesoinm@inami.gob.mx, con la persona Responsable de la Unidad de Transparencia.</w:t>
            </w:r>
          </w:p>
          <w:p w14:paraId="654117D0" w14:textId="2154490D" w:rsidR="00F52D43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="009F797C"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 al público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14:paraId="048210ED" w14:textId="5805EC68" w:rsidR="009F797C" w:rsidRPr="00CF76AC" w:rsidRDefault="00F52D4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9F797C"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15:00 horas, de lunes a viernes. Se adjunta archivo. </w:t>
            </w:r>
          </w:p>
          <w:p w14:paraId="0CD00CBF" w14:textId="77777777" w:rsidR="009F797C" w:rsidRPr="00CF76A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485BB27" w14:textId="77777777" w:rsidR="009F797C" w:rsidRPr="00CF76A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396990C0" w14:textId="77777777" w:rsidR="009F797C" w:rsidRPr="00CF76A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E2D777" w14:textId="77777777" w:rsidR="009F797C" w:rsidRPr="00CF76A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1910BD94" w14:textId="1670AF2C" w:rsidR="009F797C" w:rsidRPr="00CF76A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F76AC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5AF4375E" w14:textId="77777777" w:rsidR="009F797C" w:rsidRPr="00D82BC3" w:rsidRDefault="009F797C" w:rsidP="009F797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5FD08A8" w14:textId="7E268710" w:rsidR="009F797C" w:rsidRPr="00D82BC3" w:rsidRDefault="00101015" w:rsidP="009F797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/02/2022</w:t>
            </w:r>
          </w:p>
          <w:p w14:paraId="37420A5F" w14:textId="77777777" w:rsidR="009F797C" w:rsidRPr="00755A3B" w:rsidRDefault="009F797C" w:rsidP="009F797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3245976E" w14:textId="77777777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76" w:type="dxa"/>
          </w:tcPr>
          <w:p w14:paraId="7B94A338" w14:textId="77777777" w:rsidR="009F797C" w:rsidRPr="00D82BC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0468AD7" w14:textId="77777777" w:rsidR="009F797C" w:rsidRPr="00D82BC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D49185E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38CC2D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5FDC845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F8C486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983121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A1A0C5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A180FA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DDE7BD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100D3D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88CE3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A1D55B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82C552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D8BCA5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C9E853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E27E95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F1070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0C691B3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D040FD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5A1641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CF276F" w14:textId="77777777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9F797C" w:rsidRPr="00755A3B" w14:paraId="7A24A103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07D57001" w14:textId="6364DF28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lastRenderedPageBreak/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EFB9891" w14:textId="1DCD3F88" w:rsidR="009F797C" w:rsidRPr="005855FC" w:rsidRDefault="009F797C" w:rsidP="009F79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5855F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202728522000034</w:t>
            </w:r>
          </w:p>
          <w:p w14:paraId="5518D189" w14:textId="77777777" w:rsidR="009F797C" w:rsidRPr="005855FC" w:rsidRDefault="009F797C" w:rsidP="009F79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42B4CF6" w14:textId="3C50C50C" w:rsidR="009F797C" w:rsidRPr="005855FC" w:rsidRDefault="009F797C" w:rsidP="009F79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5855F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01A42B10" w14:textId="279A8E29" w:rsidR="009F797C" w:rsidRPr="005855FC" w:rsidRDefault="009F797C" w:rsidP="009F79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9834D10" w14:textId="77777777" w:rsidR="005B5D2F" w:rsidRPr="005855FC" w:rsidRDefault="005B5D2F" w:rsidP="005B5D2F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 xml:space="preserve">solicito que el Municipio de la Villa de Etla, me proporcione los siguientes documentos en formato PDF al correo que se ha proporcionado en el párrafo anterior o los enlaces para consultar dicha información en los plazos establecidos la ley local en la materia, y que corresponden precisamente con las obligaciones del sujeto obligado establecidas en el artículo 70 de la Ley General de Transparencia y Acceso a la Información Pública y coincidente con lo </w:t>
            </w: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solicitado en el artículo 19 de</w:t>
            </w:r>
          </w:p>
          <w:p w14:paraId="1D304F95" w14:textId="77777777" w:rsidR="005B5D2F" w:rsidRPr="005855FC" w:rsidRDefault="005B5D2F" w:rsidP="005B5D2F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la Ley de Transparencia, Acceso a la Información y Buen Gobierno del Estado de Oaxaca:</w:t>
            </w:r>
          </w:p>
          <w:p w14:paraId="6F4C812D" w14:textId="10101F3C" w:rsidR="009F797C" w:rsidRPr="005855FC" w:rsidRDefault="009F797C" w:rsidP="009F79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2A6B504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"Artículo 70. 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14:paraId="558AF34C" w14:textId="69D3EFA6" w:rsidR="005B5D2F" w:rsidRPr="005855FC" w:rsidRDefault="005B5D2F" w:rsidP="009F79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4BEB7C6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I. El marco normativo aplicable al sujeto obligado, en el que deberá incluirse leyes, códigos, reglamentos, decretos de creación, manuales administrativos, reglas de operación, criterios, políticas, entre otros;</w:t>
            </w:r>
          </w:p>
          <w:p w14:paraId="54DAC473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 xml:space="preserve">Il. Su estructura orgánica completa, en un formato que permita vincular cada parte de la estructura, las atribuciones y responsabilidades que le </w:t>
            </w: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corresponden a cada servidor público, prestador de servicios profesionales o miembro de los sujetos obligados, de conformidad con las disposiciones aplicables;</w:t>
            </w:r>
          </w:p>
          <w:p w14:paraId="67AF4E43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proofErr w:type="spellStart"/>
            <w:r w:rsidRPr="005855FC">
              <w:rPr>
                <w:rFonts w:ascii="Arial" w:hAnsi="Arial" w:cs="Arial"/>
                <w:sz w:val="24"/>
                <w:lang w:val="es-MX"/>
              </w:rPr>
              <w:t>Ill</w:t>
            </w:r>
            <w:proofErr w:type="spellEnd"/>
            <w:r w:rsidRPr="005855FC">
              <w:rPr>
                <w:rFonts w:ascii="Arial" w:hAnsi="Arial" w:cs="Arial"/>
                <w:sz w:val="24"/>
                <w:lang w:val="es-MX"/>
              </w:rPr>
              <w:t>. Las facultades de cada Área;</w:t>
            </w:r>
          </w:p>
          <w:p w14:paraId="4B5A3C0D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IV. Las metas y objetivos de las Áreas de conformidad con sus programas operativos;</w:t>
            </w:r>
          </w:p>
          <w:p w14:paraId="5FBEA526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 xml:space="preserve">V. Los indicadores relacionados con temas de interés público o trascendencia social </w:t>
            </w:r>
            <w:proofErr w:type="gramStart"/>
            <w:r w:rsidRPr="005855FC">
              <w:rPr>
                <w:rFonts w:ascii="Arial" w:hAnsi="Arial" w:cs="Arial"/>
                <w:sz w:val="24"/>
                <w:lang w:val="es-MX"/>
              </w:rPr>
              <w:t>que</w:t>
            </w:r>
            <w:proofErr w:type="gramEnd"/>
            <w:r w:rsidRPr="005855FC">
              <w:rPr>
                <w:rFonts w:ascii="Arial" w:hAnsi="Arial" w:cs="Arial"/>
                <w:sz w:val="24"/>
                <w:lang w:val="es-MX"/>
              </w:rPr>
              <w:t xml:space="preserve"> conforme a sus funciones, deban establecer;</w:t>
            </w:r>
          </w:p>
          <w:p w14:paraId="2830A6B0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VI. Los indicadores que permitan rendir cuenta de sus objetivos y resultados;</w:t>
            </w:r>
          </w:p>
          <w:p w14:paraId="6D7776FD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proofErr w:type="spellStart"/>
            <w:r w:rsidRPr="005855FC">
              <w:rPr>
                <w:rFonts w:ascii="Arial" w:hAnsi="Arial" w:cs="Arial"/>
                <w:sz w:val="24"/>
                <w:lang w:val="es-MX"/>
              </w:rPr>
              <w:t>VIl</w:t>
            </w:r>
            <w:proofErr w:type="spellEnd"/>
            <w:r w:rsidRPr="005855FC">
              <w:rPr>
                <w:rFonts w:ascii="Arial" w:hAnsi="Arial" w:cs="Arial"/>
                <w:sz w:val="24"/>
                <w:lang w:val="es-MX"/>
              </w:rPr>
              <w:t xml:space="preserve">.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</w:t>
            </w: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fecha de alta en el cargo, número telefónico, domicilio para recibir correspondencia y dirección de correo electrónico oficiales;</w:t>
            </w:r>
          </w:p>
          <w:p w14:paraId="1B1CCBF0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remuneración:</w:t>
            </w:r>
          </w:p>
          <w:p w14:paraId="3AC86BC3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IX. Los gastos de representación y viáticos, así como el objeto e informe de comisión correspondiente;</w:t>
            </w:r>
          </w:p>
          <w:p w14:paraId="35DAECCF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X. El número total de las plazas y del personal de base y confianza, especificando el total de las vacantes, por nivel de puesto, para cada unidad administrativa;</w:t>
            </w:r>
          </w:p>
          <w:p w14:paraId="2E7D0E4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XI. Las contrataciones de servicios profesionales por honorarios, señalando los nombres de los prestadores de servicios, los servicios contratados, el monto de los honorarios y el periodo de contratación;</w:t>
            </w:r>
          </w:p>
          <w:p w14:paraId="0E9A9E01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XI1. La información en Versión Pública de las declaraciones patrimoniales de los Servidores Públicos que así lo determinen, en los sistemas habilitados para ello, de acuerdo a la normatividad aplicable;</w:t>
            </w:r>
          </w:p>
          <w:p w14:paraId="5CAC53C5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XIII. El domicilio de la Unidad de Transparencia, además de la dirección electrónica donde podrán recibirse las solicitudes para obtener la información;</w:t>
            </w:r>
          </w:p>
          <w:p w14:paraId="5A168A60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XIV. Las convocatorias a concursos para ocupar cargos públicos y los resultados de los mismos;</w:t>
            </w:r>
          </w:p>
          <w:p w14:paraId="2DC76E9A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XV. La información de los programas de subsidios, estímulos y apoyos, en el que se deberá informar respecto de los programas de transferencia, de servicios, de infraestructura social y de subsidio, en los que se deberá contener lo siguiente:</w:t>
            </w:r>
          </w:p>
          <w:p w14:paraId="56EAC8BC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a) Área;</w:t>
            </w:r>
          </w:p>
          <w:p w14:paraId="0823B662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b) Denominación del programa;</w:t>
            </w:r>
          </w:p>
          <w:p w14:paraId="5D187829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c) Periodo de vigencia;</w:t>
            </w:r>
          </w:p>
          <w:p w14:paraId="0EC69D55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d) Diseño, objetivos y alcances;</w:t>
            </w:r>
          </w:p>
          <w:p w14:paraId="748E7096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 xml:space="preserve">e) Metas </w:t>
            </w:r>
            <w:proofErr w:type="spellStart"/>
            <w:r w:rsidRPr="005855FC">
              <w:rPr>
                <w:rFonts w:ascii="Arial" w:hAnsi="Arial" w:cs="Arial"/>
                <w:sz w:val="24"/>
                <w:lang w:val="es-MX"/>
              </w:rPr>
              <w:t>fisicas</w:t>
            </w:r>
            <w:proofErr w:type="spellEnd"/>
            <w:r w:rsidRPr="005855FC">
              <w:rPr>
                <w:rFonts w:ascii="Arial" w:hAnsi="Arial" w:cs="Arial"/>
                <w:sz w:val="24"/>
                <w:lang w:val="es-MX"/>
              </w:rPr>
              <w:t>;</w:t>
            </w:r>
          </w:p>
          <w:p w14:paraId="178218DD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f) Población beneficiada estimada;</w:t>
            </w:r>
          </w:p>
          <w:p w14:paraId="75009F30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 xml:space="preserve">g) Monto aprobado, modificado y ejercido, así como </w:t>
            </w: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los calendarios de su programación presupuestal;</w:t>
            </w:r>
          </w:p>
          <w:p w14:paraId="33E7EA87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h) Requisitos y procedimientos de acceso;</w:t>
            </w:r>
          </w:p>
          <w:p w14:paraId="631CFAB5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i) Procedimiento de queja o inconformidad ciudadana;</w:t>
            </w:r>
          </w:p>
          <w:p w14:paraId="69CADE66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i) Mecanismos de exigibilidad;</w:t>
            </w:r>
          </w:p>
          <w:p w14:paraId="26C2D76F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k) Mecanismos de evaluación, informes de evaluación y seguimiento de recomendaciones;</w:t>
            </w:r>
          </w:p>
          <w:p w14:paraId="1BCF71C7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I) Indicadores con nombre, definición, método de cálculo, unidad de medida, dimensión, frecuencia de medición, nombre de las bases de datos utilizadas para su cálculo;</w:t>
            </w:r>
          </w:p>
          <w:p w14:paraId="004C9878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m) Formas de participación social;</w:t>
            </w:r>
          </w:p>
          <w:p w14:paraId="1581D76A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n) Articulación con otros programas sociales;</w:t>
            </w:r>
          </w:p>
          <w:p w14:paraId="3131AA3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o) Vínculo a las reglas de operación o Documento equivalente;</w:t>
            </w:r>
          </w:p>
          <w:p w14:paraId="595CDF39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p) Informes periódicos sobre la ejecución y los resultados de las evaluaciones realizadas, y</w:t>
            </w:r>
          </w:p>
          <w:p w14:paraId="5AEC83CB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q) Padrón de beneficiarios mismo que deberá contener los siguientes datos: nombre de la</w:t>
            </w:r>
          </w:p>
          <w:p w14:paraId="3E88E6C7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 xml:space="preserve">persona física o denominación social de las personas morales beneficiarias, el monto, recurso, beneficio o apoyo otorgado para cada una de ellas, unidad </w:t>
            </w: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territorial, en su caso, edad y sexo;</w:t>
            </w:r>
          </w:p>
          <w:p w14:paraId="11C97DB0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XVI. Las condiciones generales de trabajo, contratos o convenios que regulen las relaciones laborales del personal de base o de confianza, así como los recursos públicos económicos, en especie o donativos, que sean entregados a los sindicatos y ejerzan como recursos públicos;</w:t>
            </w:r>
          </w:p>
          <w:p w14:paraId="79E79403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XVII. La información curricular, desde el nivel de jefe de departamento o equivalente, hasta el titular del sujeto obligado, así como, en su caso, las sanciones administrativas de que haya sido objeto:</w:t>
            </w:r>
          </w:p>
          <w:p w14:paraId="44263771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proofErr w:type="spellStart"/>
            <w:r w:rsidRPr="005855FC">
              <w:rPr>
                <w:rFonts w:ascii="Arial" w:hAnsi="Arial" w:cs="Arial"/>
                <w:sz w:val="24"/>
                <w:lang w:val="es-MX"/>
              </w:rPr>
              <w:t>XVIll</w:t>
            </w:r>
            <w:proofErr w:type="spellEnd"/>
            <w:r w:rsidRPr="005855FC">
              <w:rPr>
                <w:rFonts w:ascii="Arial" w:hAnsi="Arial" w:cs="Arial"/>
                <w:sz w:val="24"/>
                <w:lang w:val="es-MX"/>
              </w:rPr>
              <w:t>. El listado de Servidores Públicos con sanciones administrativas definitivas, especificando la causa de sanción y la disposición;</w:t>
            </w:r>
          </w:p>
          <w:p w14:paraId="0929C9BD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XIX. Los servicios que ofrecen señalando los requisitos para acceder a ellos;</w:t>
            </w:r>
          </w:p>
          <w:p w14:paraId="232D096A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XX. Los trámites, requisitos y formatos que ofrecen;</w:t>
            </w:r>
          </w:p>
          <w:p w14:paraId="11CEF25D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 xml:space="preserve">XXI. La información financiera sobre el presupuesto asignado, así como los informes del ejercicio trimestral del gasto, en </w:t>
            </w: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términos de la Ley General de Contabilidad Gubernamental y demás normatividad aplicable;</w:t>
            </w:r>
          </w:p>
          <w:p w14:paraId="7B5F24E6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XXII. La información relativa a la deuda pública, en términos de la normatividad aplicable;</w:t>
            </w:r>
          </w:p>
          <w:p w14:paraId="0C1792C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XXIII. Los montos destinados a gastos relativos a comunicación social y publicidad oficial desglosada por tipo de medio, proveedores, número de contrato y concepto o campaña;</w:t>
            </w:r>
          </w:p>
          <w:p w14:paraId="7F679710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XXIV. Los informes de resultados de las auditorías al ejercicio presupuestal de cada sujeto obligado que se realicen y, en su caso, las aclaraciones que correspondan;</w:t>
            </w:r>
          </w:p>
          <w:p w14:paraId="441B43CA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XXV. El resultado de la dictaminación de los estados financieros;</w:t>
            </w:r>
          </w:p>
          <w:p w14:paraId="65046357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 xml:space="preserve">XXVI. 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</w:t>
            </w: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uso y destino de dichos recursos;</w:t>
            </w:r>
          </w:p>
          <w:p w14:paraId="7463DAF7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XXVII. 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  <w:p w14:paraId="35D4382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XXVIII. La información sobre los resultados sobre procedimientos de adjudicación directa, invitación</w:t>
            </w:r>
          </w:p>
          <w:p w14:paraId="297C1FB1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restringida y licitación de cualquier naturaleza, incluyendo la Versión Pública del Expediente respectivo y de los contratos celebrados, que deberá contener, por lo menos, lo siguiente:</w:t>
            </w:r>
          </w:p>
          <w:p w14:paraId="19D8A11F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a) De licitaciones públicas o procedimientos de invitación restringida:</w:t>
            </w:r>
          </w:p>
          <w:p w14:paraId="26A9D13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1. La convocatoria o invitación emitida, así como los fundamentos legales aplicados para llevarla a cabo;</w:t>
            </w:r>
          </w:p>
          <w:p w14:paraId="5BCD0D17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2. Los nombres de los participantes o invitados;</w:t>
            </w:r>
          </w:p>
          <w:p w14:paraId="647C15D4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3. El nombre del ganador y las razones que lo justifican;</w:t>
            </w:r>
          </w:p>
          <w:p w14:paraId="075E4421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4. El Área solicitante y la responsable de su ejecución;</w:t>
            </w:r>
          </w:p>
          <w:p w14:paraId="46685EDC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5. Las convocatorias e invitaciones emitidas;</w:t>
            </w:r>
          </w:p>
          <w:p w14:paraId="2D0BF298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6. Los dictámenes y fallo de adjudicación;</w:t>
            </w:r>
          </w:p>
          <w:p w14:paraId="3E666E70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7. El contrato y, en su caso, sus anexos;</w:t>
            </w:r>
          </w:p>
          <w:p w14:paraId="7AA78185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8. Los mecanismos de vigilancia y supervisión, incluyendo, en su caso, los estudios de impacto urbano y ambiental, según corresponda;</w:t>
            </w:r>
          </w:p>
          <w:p w14:paraId="0720CC6C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9. La partida presupuestal, de conformidad con el clasificador por objeto del gasto, en el caso de ser aplicable:</w:t>
            </w:r>
          </w:p>
          <w:p w14:paraId="104EFD84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10. Origen de los recursos especificando si son federales, estatales o municipales, así como el tipo de fondo de participación o aportación respectiva;</w:t>
            </w:r>
          </w:p>
          <w:p w14:paraId="41605FDC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11. Los convenios modificatorios que, en su caso, sean firmados, precisando el objeto y la fecha de celebración;</w:t>
            </w:r>
          </w:p>
          <w:p w14:paraId="294A4986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 xml:space="preserve">12. Los informes de avance físico y financiero sobre las </w:t>
            </w: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obras o servicios contratados;</w:t>
            </w:r>
          </w:p>
          <w:p w14:paraId="21F361EA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13. El convenio de terminación, y</w:t>
            </w:r>
          </w:p>
          <w:p w14:paraId="11000562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14. El finiquito;</w:t>
            </w:r>
          </w:p>
          <w:p w14:paraId="48DB3CF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b) De las adjudicaciones directas:</w:t>
            </w:r>
          </w:p>
          <w:p w14:paraId="1DBFC58D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1. La propuesta enviada por el participante;</w:t>
            </w:r>
          </w:p>
          <w:p w14:paraId="610A6D90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2. Los motivos y fundamentos legales aplicados para llevarla a cabo;</w:t>
            </w:r>
          </w:p>
          <w:p w14:paraId="681A281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3. La autorización del ejercicio de la opción;</w:t>
            </w:r>
          </w:p>
          <w:p w14:paraId="4E81FBF0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4. En su caso, las cotizaciones consideradas, especificando los nombres de los</w:t>
            </w:r>
          </w:p>
          <w:p w14:paraId="6BAAF562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proveedores y los montos;</w:t>
            </w:r>
          </w:p>
          <w:p w14:paraId="1894B095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5. El nombre de la persona física o moral adjudicada;</w:t>
            </w:r>
          </w:p>
          <w:p w14:paraId="1B4700E6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6. La unidad administrativa solicitante y la responsable de su ejecución;</w:t>
            </w:r>
          </w:p>
          <w:p w14:paraId="0DFA36F3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7. El número, fecha, el monto del contrato y el plazo de entrega o de ejecución de los</w:t>
            </w:r>
          </w:p>
          <w:p w14:paraId="531AAF04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servicios u obra;</w:t>
            </w:r>
          </w:p>
          <w:p w14:paraId="41B902C5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8. Los mecanismos de vigilancia y supervisión, incluyendo, en su caso, los estudios de</w:t>
            </w:r>
          </w:p>
          <w:p w14:paraId="71AC22F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impacto urbano y ambiental, según corresponda;</w:t>
            </w:r>
          </w:p>
          <w:p w14:paraId="73C76BE6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9. Los informes de avance sobre las obras o servicios contratados:</w:t>
            </w:r>
          </w:p>
          <w:p w14:paraId="448339AF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10. El convenio de terminación, y</w:t>
            </w:r>
          </w:p>
          <w:p w14:paraId="7948D466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11. El finiquito;</w:t>
            </w:r>
          </w:p>
          <w:p w14:paraId="7A09477C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 xml:space="preserve">XXIX. Los informes que por disposición </w:t>
            </w: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legal generen los sujetos obligados;</w:t>
            </w:r>
          </w:p>
          <w:p w14:paraId="510858C1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XXX. Las estadísticas que generen en cumplimiento de sus facultades, competencias o</w:t>
            </w:r>
          </w:p>
          <w:p w14:paraId="4841D5E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funciones con la mayor desagregación posible;</w:t>
            </w:r>
          </w:p>
          <w:p w14:paraId="20B8E1E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XXXI. Informe de avances programáticos o presupuestales, balances generales y su estado financiero;</w:t>
            </w:r>
          </w:p>
          <w:p w14:paraId="6FC03276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XXXII. Padrón de proveedores y contratistas;</w:t>
            </w:r>
          </w:p>
          <w:p w14:paraId="3B5CD240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XXXII1. Los convenios de coordinación de concertación con los sectores social y privado;</w:t>
            </w:r>
          </w:p>
          <w:p w14:paraId="72FAC4FA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XXXIV. El inventario de bienes muebles e inmuebles en posesión y propiedad;</w:t>
            </w:r>
          </w:p>
          <w:p w14:paraId="1963A1F6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XXXV. Las recomendaciones emitidas por los órganos públicos del Estado mexicano u organismos internacionales garantes de los derechos humanos, así como las acciones que han llevado a cabo para su atención;</w:t>
            </w:r>
          </w:p>
          <w:p w14:paraId="1E4906A7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XXXVI. Las resoluciones y laudos que se emitan en procesos o procedimientos seguidos en forma de juicio;</w:t>
            </w:r>
          </w:p>
          <w:p w14:paraId="7290F58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 xml:space="preserve">XXXVII. Los mecanismos de </w:t>
            </w: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participación ciudadana;</w:t>
            </w:r>
          </w:p>
          <w:p w14:paraId="3E292DF7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XXXVIII. Los programas que ofrecen, incluyendo información sobre la población, objetivo y destino, así como los trámites, tiempos de respuesta, requisitos y formatos para acceder a los mismos;</w:t>
            </w:r>
          </w:p>
          <w:p w14:paraId="4CD52D6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XXXIX. Las actas y resoluciones del Comité de Transparencia de los sujetos obligados;</w:t>
            </w:r>
          </w:p>
          <w:p w14:paraId="293CA07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XL. Todas las evaluaciones y encuestas que hagan los sujetos obligados a programas financiados con recursos públicos;</w:t>
            </w:r>
          </w:p>
          <w:p w14:paraId="15E5B8D9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XLI. Los estudios financiados con recursos públicos;</w:t>
            </w:r>
          </w:p>
          <w:p w14:paraId="28F123B7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XLII. El listado de jubilados y pensionados y el monto que reciben;</w:t>
            </w:r>
          </w:p>
          <w:p w14:paraId="45F3F6E0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proofErr w:type="spellStart"/>
            <w:r w:rsidRPr="005855FC">
              <w:rPr>
                <w:rFonts w:ascii="Arial" w:hAnsi="Arial" w:cs="Arial"/>
                <w:sz w:val="24"/>
                <w:lang w:val="es-MX"/>
              </w:rPr>
              <w:t>XLIll</w:t>
            </w:r>
            <w:proofErr w:type="spellEnd"/>
            <w:r w:rsidRPr="005855FC">
              <w:rPr>
                <w:rFonts w:ascii="Arial" w:hAnsi="Arial" w:cs="Arial"/>
                <w:sz w:val="24"/>
                <w:lang w:val="es-MX"/>
              </w:rPr>
              <w:t>. Los ingresos recibidos por cualquier concepto señalando el nombre de los responsables de recibirlos, administrarlos y ejercerlos, así como su destino, indicando el destino de cada uno de ellos;</w:t>
            </w:r>
          </w:p>
          <w:p w14:paraId="3B52CF95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XLIV. Donaciones hechas a terceros en dinero o en especie;</w:t>
            </w:r>
          </w:p>
          <w:p w14:paraId="72F269A8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XLV. El catálogo de disposición y guía de archivo documental;</w:t>
            </w:r>
          </w:p>
          <w:p w14:paraId="58CC4CC3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XLVI. Las actas de sesiones ordinarias y extraordinarias, así como las opiniones y recomendaciones que emitan, en su caso, los consejos consultivos;</w:t>
            </w:r>
          </w:p>
          <w:p w14:paraId="30A9C310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  <w:p w14:paraId="7BACF7B4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XLVIII. Cualquier otra información que sea de utilidad o se considere relevante, además de la que, con base en la información estadística, responda a las preguntas hechas con más frecuencia por el público".</w:t>
            </w:r>
          </w:p>
          <w:p w14:paraId="35A7ABC1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7C74CC39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 xml:space="preserve">Por todo lo anteriormente expuesto y fundad, </w:t>
            </w:r>
            <w:r w:rsidRPr="005855FC">
              <w:rPr>
                <w:rFonts w:ascii="Arial" w:hAnsi="Arial" w:cs="Arial"/>
                <w:sz w:val="24"/>
                <w:lang w:val="es-MX"/>
              </w:rPr>
              <w:lastRenderedPageBreak/>
              <w:t>atentamente solicito:</w:t>
            </w:r>
          </w:p>
          <w:p w14:paraId="27CBA0FE" w14:textId="77777777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PRIMERO. Tenerme por presentada, en términos de ley, la presente solicitud de información pública.</w:t>
            </w:r>
          </w:p>
          <w:p w14:paraId="49EBF488" w14:textId="6CF45240" w:rsidR="00506B62" w:rsidRPr="005855FC" w:rsidRDefault="00506B62" w:rsidP="00506B62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5855FC">
              <w:rPr>
                <w:rFonts w:ascii="Arial" w:hAnsi="Arial" w:cs="Arial"/>
                <w:sz w:val="24"/>
                <w:lang w:val="es-MX"/>
              </w:rPr>
              <w:t>SEGUNDO. Se acuerde mi solicitud en los plazos establecidos por las leyes en la materia y conforme a derecho</w:t>
            </w:r>
            <w:r w:rsidR="00861F1D">
              <w:rPr>
                <w:rFonts w:ascii="Arial" w:hAnsi="Arial" w:cs="Arial"/>
                <w:sz w:val="24"/>
                <w:lang w:val="es-MX"/>
              </w:rPr>
              <w:t xml:space="preserve"> (sic)</w:t>
            </w:r>
            <w:r w:rsidRPr="005855FC">
              <w:rPr>
                <w:rFonts w:ascii="Arial" w:hAnsi="Arial" w:cs="Arial"/>
                <w:sz w:val="24"/>
                <w:lang w:val="es-MX"/>
              </w:rPr>
              <w:t>.</w:t>
            </w:r>
          </w:p>
          <w:p w14:paraId="029D9218" w14:textId="77777777" w:rsidR="00506B62" w:rsidRPr="005855FC" w:rsidRDefault="00506B62" w:rsidP="009F79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2860D94" w14:textId="77777777" w:rsidR="005B5D2F" w:rsidRPr="005855FC" w:rsidRDefault="005B5D2F" w:rsidP="009F79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2B981A9" w14:textId="77777777" w:rsidR="009F797C" w:rsidRPr="005855FC" w:rsidRDefault="009F797C" w:rsidP="009F79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2368319" w14:textId="77777777" w:rsidR="009F797C" w:rsidRPr="005855FC" w:rsidRDefault="009F797C" w:rsidP="009F79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20CC0AA" w14:textId="77777777" w:rsidR="009F797C" w:rsidRPr="00F52D4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52D4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7E480402" w14:textId="77777777" w:rsidR="009F797C" w:rsidRPr="009F797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F797C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5C5473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9F797C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las Unidades de Transparencia de los Sujetos obligados competentes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2BCEC128" w14:textId="5956DF7C" w:rsidR="009F797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F797C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</w:t>
            </w:r>
            <w:r w:rsidRPr="009F797C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competente para dar respuesta a su solicitud de acceso a la información pública, es el siguiente: </w:t>
            </w:r>
          </w:p>
          <w:p w14:paraId="74C87EEC" w14:textId="77777777" w:rsidR="005C5473" w:rsidRPr="009F797C" w:rsidRDefault="005C547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B807D60" w14:textId="77777777" w:rsidR="005C547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C5473">
              <w:rPr>
                <w:rFonts w:ascii="Arial" w:hAnsi="Arial" w:cs="Arial"/>
                <w:b/>
                <w:sz w:val="24"/>
                <w:szCs w:val="24"/>
                <w:lang w:val="es-MX"/>
              </w:rPr>
              <w:t>H. AYUNTAMIENTO DE VILLA DE ETLA</w:t>
            </w:r>
            <w:r w:rsidR="005C5473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2B3A523D" w14:textId="77777777" w:rsidR="005C5473" w:rsidRDefault="005C547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U</w:t>
            </w:r>
            <w:r w:rsidR="009F797C" w:rsidRPr="009F797C">
              <w:rPr>
                <w:rFonts w:ascii="Arial" w:hAnsi="Arial" w:cs="Arial"/>
                <w:sz w:val="24"/>
                <w:szCs w:val="24"/>
                <w:lang w:val="es-MX"/>
              </w:rPr>
              <w:t xml:space="preserve">bicada en domicilio conocido, Palacio Municipal S/N, Villa de Etla, Oaxaca; C.P. 68200. </w:t>
            </w:r>
          </w:p>
          <w:p w14:paraId="567C5CD2" w14:textId="77777777" w:rsidR="005C5473" w:rsidRPr="005C547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C5473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</w:p>
          <w:p w14:paraId="0446C708" w14:textId="77777777" w:rsidR="005C547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F797C">
              <w:rPr>
                <w:rFonts w:ascii="Arial" w:hAnsi="Arial" w:cs="Arial"/>
                <w:sz w:val="24"/>
                <w:szCs w:val="24"/>
                <w:lang w:val="es-MX"/>
              </w:rPr>
              <w:t xml:space="preserve"> (01) 951 52154</w:t>
            </w:r>
          </w:p>
          <w:p w14:paraId="2B76B3E9" w14:textId="414C2645" w:rsidR="005C5473" w:rsidRPr="005C5473" w:rsidRDefault="005C5473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</w:t>
            </w:r>
            <w:r w:rsidR="009F797C" w:rsidRPr="005C5473">
              <w:rPr>
                <w:rFonts w:ascii="Arial" w:hAnsi="Arial" w:cs="Arial"/>
                <w:b/>
                <w:sz w:val="24"/>
                <w:szCs w:val="24"/>
                <w:lang w:val="es-MX"/>
              </w:rPr>
              <w:t>orreo electrónico:</w:t>
            </w:r>
          </w:p>
          <w:p w14:paraId="35D4DBE5" w14:textId="217F4B41" w:rsidR="009F797C" w:rsidRPr="009F797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F797C">
              <w:rPr>
                <w:rFonts w:ascii="Arial" w:hAnsi="Arial" w:cs="Arial"/>
                <w:sz w:val="24"/>
                <w:szCs w:val="24"/>
                <w:lang w:val="es-MX"/>
              </w:rPr>
              <w:t xml:space="preserve"> villadeetlaayuntamiento22@gmail.com, con la persona Responsable de la Unidad de Transparencia.  Se adjunta archivo. </w:t>
            </w:r>
          </w:p>
          <w:p w14:paraId="4204BB28" w14:textId="77777777" w:rsidR="009F797C" w:rsidRPr="009F797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8CB4A3" w14:textId="77777777" w:rsidR="009F797C" w:rsidRPr="009F797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F797C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12FAB985" w14:textId="77777777" w:rsidR="009F797C" w:rsidRPr="009F797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ABD0CC" w14:textId="77777777" w:rsidR="009F797C" w:rsidRPr="009F797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F797C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20501A6B" w14:textId="557605C3" w:rsidR="009F797C" w:rsidRPr="009F797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F797C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5E64826C" w14:textId="77777777" w:rsidR="009F797C" w:rsidRPr="00D82BC3" w:rsidRDefault="009F797C" w:rsidP="009F797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0EC3F7A" w14:textId="4C636D91" w:rsidR="009F797C" w:rsidRPr="00D82BC3" w:rsidRDefault="00101015" w:rsidP="009F797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/02/2022</w:t>
            </w:r>
          </w:p>
          <w:p w14:paraId="124C07C9" w14:textId="77777777" w:rsidR="009F797C" w:rsidRPr="00755A3B" w:rsidRDefault="009F797C" w:rsidP="009F797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3C124786" w14:textId="77777777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76" w:type="dxa"/>
          </w:tcPr>
          <w:p w14:paraId="09D3630B" w14:textId="77777777" w:rsidR="009F797C" w:rsidRPr="00D82BC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D8B593E" w14:textId="77777777" w:rsidR="009F797C" w:rsidRPr="00D82BC3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35EB5480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0157616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5FFDAF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941EA7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68E514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B290623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DD2655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147EDE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753EB62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79D52F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F449F6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3C62CB3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D89B2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88541E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90FF6AA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76A3A9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71644F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220358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6F5E0" w14:textId="77777777" w:rsidR="009F797C" w:rsidRPr="00D82BC3" w:rsidRDefault="009F797C" w:rsidP="009F7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44EB28D" w14:textId="77777777" w:rsidR="009F797C" w:rsidRPr="0017734C" w:rsidRDefault="009F797C" w:rsidP="009F7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101015" w:rsidRPr="00755A3B" w14:paraId="23A711B8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0658E924" w14:textId="7FB1BE60" w:rsidR="00101015" w:rsidRDefault="00101015" w:rsidP="00101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lastRenderedPageBreak/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28368" w14:textId="2A2036C6" w:rsidR="00101015" w:rsidRPr="00726266" w:rsidRDefault="00101015" w:rsidP="001010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202728522000039</w:t>
            </w:r>
          </w:p>
          <w:p w14:paraId="16281B87" w14:textId="77777777" w:rsidR="00101015" w:rsidRPr="00726266" w:rsidRDefault="00101015" w:rsidP="001010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BB4CF81" w14:textId="77777777" w:rsidR="00101015" w:rsidRDefault="00101015" w:rsidP="001010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028949F4" w14:textId="77777777" w:rsidR="00101015" w:rsidRDefault="00101015" w:rsidP="001010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90D8AD8" w14:textId="35000F25" w:rsidR="00101015" w:rsidRPr="00823CFF" w:rsidRDefault="00101015" w:rsidP="00101015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823CFF">
              <w:rPr>
                <w:rFonts w:ascii="Arial" w:hAnsi="Arial" w:cs="Arial"/>
                <w:sz w:val="24"/>
                <w:lang w:val="es-MX"/>
              </w:rPr>
              <w:t>El pasado 1 de febrero la Coordinación Estatal de Protección Civil del Estado de Oaxaca (CEPCO),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realizó pruebas de audio en los altavoces de la ciudad capital de Oaxaca en los que se transmite el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sonido de la alerta sísmica de esa entidad federativa, conocido como Sistema de Alerta Sísmica de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Oaxaca (SASO). Posterior a la prueba de audio, el Coordinador Estatal de Protección Civil de Oaxaca,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 xml:space="preserve">Óscar Valencia García, declaró a </w:t>
            </w:r>
            <w:proofErr w:type="spellStart"/>
            <w:r w:rsidRPr="00823CFF">
              <w:rPr>
                <w:rFonts w:ascii="Arial" w:hAnsi="Arial" w:cs="Arial"/>
                <w:sz w:val="24"/>
                <w:lang w:val="es-MX"/>
              </w:rPr>
              <w:t>disitintos</w:t>
            </w:r>
            <w:proofErr w:type="spellEnd"/>
            <w:r w:rsidRPr="00823CFF">
              <w:rPr>
                <w:rFonts w:ascii="Arial" w:hAnsi="Arial" w:cs="Arial"/>
                <w:sz w:val="24"/>
                <w:lang w:val="es-MX"/>
              </w:rPr>
              <w:t xml:space="preserve"> medios de comunicación (entre ellos Milenio diario), que: "el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</w:r>
            <w:r w:rsidRPr="00823CFF">
              <w:rPr>
                <w:rFonts w:ascii="Arial" w:hAnsi="Arial" w:cs="Arial"/>
                <w:sz w:val="24"/>
                <w:lang w:val="es-MX"/>
              </w:rPr>
              <w:lastRenderedPageBreak/>
              <w:t>modelo de alerta sísmica debe tener un nuevo manejo en el nuevo régimen, en este sentido, ya se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presentó una propuesta a la Secretaría de Gobernación del Gobierno de México (SEGOB) y a la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Coordinación Nacional de Protección Civil dependiente de la Secretaría de Seguridad y Protección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Ciudadano del Gobierno de México (SSPC), a fin de que los estados que son beneficiados, se hagan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cargo de su mantenimiento (del Sistema de Alerta Sísmica Mexicano, SASMEX que incluye al SASO) de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forma equitativa". Cabe recordar que una de las principales beneficiadas de este sistema es la Ciudad de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México (CDMX) el cual es financiado a través del Instituto para la Seguridad de las Construcciones que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depende de la Secretaría de Obras y Servicios de la CDMX. Quisiera conocer la propuesta que envió el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Gobierno del Estado de Oaxaca a través de su Coordinación Estatal de Protección Civil a la SEGOB y a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</w:r>
            <w:r w:rsidRPr="00823CFF">
              <w:rPr>
                <w:rFonts w:ascii="Arial" w:hAnsi="Arial" w:cs="Arial"/>
                <w:sz w:val="24"/>
                <w:lang w:val="es-MX"/>
              </w:rPr>
              <w:lastRenderedPageBreak/>
              <w:t>la SSPC, que de acuerdo con el funcionario: "las entidades que se benefician del SASMEX se hagan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cargo de su mantenimiento de manera equitativa". En qué consiste dicha propuesta y cuándo se envió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ésta</w:t>
            </w:r>
            <w:r w:rsidR="00861F1D">
              <w:rPr>
                <w:rFonts w:ascii="Arial" w:hAnsi="Arial" w:cs="Arial"/>
                <w:sz w:val="24"/>
                <w:lang w:val="es-MX"/>
              </w:rPr>
              <w:t xml:space="preserve"> (sic).</w:t>
            </w:r>
          </w:p>
          <w:p w14:paraId="48F6101C" w14:textId="504B88FC" w:rsidR="00101015" w:rsidRDefault="00101015" w:rsidP="001010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2D4E2D5" w14:textId="41AE2527" w:rsidR="00101015" w:rsidRDefault="00101015" w:rsidP="0010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50D42029" w14:textId="07A176AD" w:rsidR="00101015" w:rsidRDefault="00101015" w:rsidP="0010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</w:p>
          <w:p w14:paraId="585276FB" w14:textId="246DB4E8" w:rsidR="00101015" w:rsidRPr="00726266" w:rsidRDefault="00101015" w:rsidP="0010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Otros datos para su localización:</w:t>
            </w:r>
          </w:p>
          <w:p w14:paraId="5C0EC4FE" w14:textId="319B9D25" w:rsidR="00101015" w:rsidRDefault="00101015" w:rsidP="001010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9E872ED" w14:textId="026D4B5C" w:rsidR="00101015" w:rsidRPr="00823CFF" w:rsidRDefault="00101015" w:rsidP="00101015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823CFF">
              <w:rPr>
                <w:rFonts w:ascii="Arial" w:hAnsi="Arial" w:cs="Arial"/>
                <w:sz w:val="24"/>
                <w:lang w:val="es-MX"/>
              </w:rPr>
              <w:t>Propuesta que envió el Gobierno del Estado de Oaxaca a través de su Coordinación Estatal de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 xml:space="preserve">Protección Civil a la SEGOB y a la SSPC, sobre el </w:t>
            </w:r>
            <w:proofErr w:type="spellStart"/>
            <w:r w:rsidRPr="00823CFF">
              <w:rPr>
                <w:rFonts w:ascii="Arial" w:hAnsi="Arial" w:cs="Arial"/>
                <w:sz w:val="24"/>
                <w:lang w:val="es-MX"/>
              </w:rPr>
              <w:t>manjejo</w:t>
            </w:r>
            <w:proofErr w:type="spellEnd"/>
            <w:r w:rsidRPr="00823CFF">
              <w:rPr>
                <w:rFonts w:ascii="Arial" w:hAnsi="Arial" w:cs="Arial"/>
                <w:sz w:val="24"/>
                <w:lang w:val="es-MX"/>
              </w:rPr>
              <w:t xml:space="preserve"> y mantenimiento </w:t>
            </w:r>
            <w:proofErr w:type="spellStart"/>
            <w:r w:rsidRPr="00823CFF">
              <w:rPr>
                <w:rFonts w:ascii="Arial" w:hAnsi="Arial" w:cs="Arial"/>
                <w:sz w:val="24"/>
                <w:lang w:val="es-MX"/>
              </w:rPr>
              <w:t>econcómico</w:t>
            </w:r>
            <w:proofErr w:type="spellEnd"/>
            <w:r w:rsidRPr="00823CFF">
              <w:rPr>
                <w:rFonts w:ascii="Arial" w:hAnsi="Arial" w:cs="Arial"/>
                <w:sz w:val="24"/>
                <w:lang w:val="es-MX"/>
              </w:rPr>
              <w:t xml:space="preserve"> - financiero, del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Sistema de Alerta Sísmica Mexicano SASMEX, que incluye al Sistema de Alerta Sísmica de Oaxaca,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 xml:space="preserve">SASO para que otras entidades beneficiadas con el sistema, </w:t>
            </w:r>
            <w:proofErr w:type="spellStart"/>
            <w:r w:rsidRPr="00823CFF">
              <w:rPr>
                <w:rFonts w:ascii="Arial" w:hAnsi="Arial" w:cs="Arial"/>
                <w:sz w:val="24"/>
                <w:lang w:val="es-MX"/>
              </w:rPr>
              <w:t>contriuyan</w:t>
            </w:r>
            <w:proofErr w:type="spellEnd"/>
            <w:r w:rsidRPr="00823CFF">
              <w:rPr>
                <w:rFonts w:ascii="Arial" w:hAnsi="Arial" w:cs="Arial"/>
                <w:sz w:val="24"/>
                <w:lang w:val="es-MX"/>
              </w:rPr>
              <w:t xml:space="preserve"> con presupuesto, de manera</w:t>
            </w:r>
            <w:r w:rsidRPr="00823CFF">
              <w:rPr>
                <w:rFonts w:ascii="Arial" w:hAnsi="Arial" w:cs="Arial"/>
                <w:sz w:val="24"/>
                <w:lang w:val="es-MX"/>
              </w:rPr>
              <w:br/>
              <w:t>equitativa</w:t>
            </w:r>
            <w:r w:rsidR="00861F1D">
              <w:rPr>
                <w:rFonts w:ascii="Arial" w:hAnsi="Arial" w:cs="Arial"/>
                <w:sz w:val="24"/>
                <w:lang w:val="es-MX"/>
              </w:rPr>
              <w:t xml:space="preserve"> (sic).</w:t>
            </w:r>
          </w:p>
          <w:p w14:paraId="3DA82648" w14:textId="77777777" w:rsidR="00101015" w:rsidRDefault="00101015" w:rsidP="001010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76D1621C" w14:textId="77777777" w:rsidR="00101015" w:rsidRDefault="00101015" w:rsidP="001010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BF4C8F2" w14:textId="77777777" w:rsidR="00101015" w:rsidRPr="00823CFF" w:rsidRDefault="00101015" w:rsidP="001010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359E12E" w14:textId="77777777" w:rsidR="00101015" w:rsidRPr="00823CFF" w:rsidRDefault="00101015" w:rsidP="00101015">
            <w:pPr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823CFF">
              <w:rPr>
                <w:rFonts w:ascii="Arial" w:hAnsi="Arial" w:cs="Arial"/>
                <w:b/>
                <w:sz w:val="24"/>
                <w:lang w:val="es-MX"/>
              </w:rPr>
              <w:lastRenderedPageBreak/>
              <w:t>Estimado(a) solicitante:</w:t>
            </w:r>
          </w:p>
          <w:p w14:paraId="7A204B71" w14:textId="77777777" w:rsidR="00101015" w:rsidRPr="00823CFF" w:rsidRDefault="00101015" w:rsidP="00101015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823CFF">
              <w:rPr>
                <w:rFonts w:ascii="Arial" w:hAnsi="Arial" w:cs="Arial"/>
                <w:sz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823CFF">
              <w:rPr>
                <w:rFonts w:ascii="Arial" w:hAnsi="Arial" w:cs="Arial"/>
                <w:b/>
                <w:sz w:val="24"/>
                <w:lang w:val="es-MX"/>
              </w:rPr>
              <w:t>ORIENTA</w:t>
            </w:r>
            <w:r w:rsidRPr="00823CFF">
              <w:rPr>
                <w:rFonts w:ascii="Arial" w:hAnsi="Arial" w:cs="Arial"/>
                <w:sz w:val="24"/>
                <w:lang w:val="es-MX"/>
              </w:rPr>
              <w:t xml:space="preserve"> debidamente a efecto de que presente su solicitud ante las Unidades de Transparencia de los Sujetos obligados competentes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43FB34EC" w14:textId="77777777" w:rsidR="00101015" w:rsidRPr="00823CFF" w:rsidRDefault="00101015" w:rsidP="00101015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823CFF">
              <w:rPr>
                <w:rFonts w:ascii="Arial" w:hAnsi="Arial" w:cs="Arial"/>
                <w:sz w:val="24"/>
                <w:lang w:val="es-MX"/>
              </w:rPr>
              <w:t xml:space="preserve">Por lo anterior, el Sujeto Obligado que puede ser competente para dar respuesta a su solicitud de </w:t>
            </w:r>
            <w:r w:rsidRPr="00823CFF">
              <w:rPr>
                <w:rFonts w:ascii="Arial" w:hAnsi="Arial" w:cs="Arial"/>
                <w:sz w:val="24"/>
                <w:lang w:val="es-MX"/>
              </w:rPr>
              <w:lastRenderedPageBreak/>
              <w:t xml:space="preserve">acceso a la información pública, es el siguiente: </w:t>
            </w:r>
          </w:p>
          <w:p w14:paraId="6C580832" w14:textId="77777777" w:rsidR="00101015" w:rsidRDefault="00101015" w:rsidP="00101015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104BED9C" w14:textId="77777777" w:rsidR="00101015" w:rsidRDefault="00101015" w:rsidP="00101015">
            <w:pPr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101015">
              <w:rPr>
                <w:rFonts w:ascii="Arial" w:hAnsi="Arial" w:cs="Arial"/>
                <w:b/>
                <w:sz w:val="24"/>
                <w:lang w:val="es-MX"/>
              </w:rPr>
              <w:t>COORDINACIÓN ESTATAL DE PROTECCIÓN CIVIL DE OAXACA</w:t>
            </w:r>
            <w:r>
              <w:rPr>
                <w:rFonts w:ascii="Arial" w:hAnsi="Arial" w:cs="Arial"/>
                <w:b/>
                <w:sz w:val="24"/>
                <w:lang w:val="es-MX"/>
              </w:rPr>
              <w:t>.</w:t>
            </w:r>
          </w:p>
          <w:p w14:paraId="1E71918C" w14:textId="77777777" w:rsidR="00101015" w:rsidRDefault="00101015" w:rsidP="00101015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U</w:t>
            </w:r>
            <w:r w:rsidRPr="00823CFF">
              <w:rPr>
                <w:rFonts w:ascii="Arial" w:hAnsi="Arial" w:cs="Arial"/>
                <w:sz w:val="24"/>
                <w:lang w:val="es-MX"/>
              </w:rPr>
              <w:t xml:space="preserve">bicada en Prolongación de </w:t>
            </w:r>
            <w:proofErr w:type="spellStart"/>
            <w:r w:rsidRPr="00823CFF">
              <w:rPr>
                <w:rFonts w:ascii="Arial" w:hAnsi="Arial" w:cs="Arial"/>
                <w:sz w:val="24"/>
                <w:lang w:val="es-MX"/>
              </w:rPr>
              <w:t>Xicotencatl</w:t>
            </w:r>
            <w:proofErr w:type="spellEnd"/>
            <w:r w:rsidRPr="00823CFF">
              <w:rPr>
                <w:rFonts w:ascii="Arial" w:hAnsi="Arial" w:cs="Arial"/>
                <w:sz w:val="24"/>
                <w:lang w:val="es-MX"/>
              </w:rPr>
              <w:t xml:space="preserve"> #1031, Colonia Eliseo Jiménez Ruiz, Oaxaca de Juárez, Oaxaca; C.P. 68120. </w:t>
            </w:r>
          </w:p>
          <w:p w14:paraId="2B265E6C" w14:textId="77777777" w:rsidR="00101015" w:rsidRDefault="00101015" w:rsidP="00101015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40F83354" w14:textId="77777777" w:rsidR="00101015" w:rsidRDefault="00101015" w:rsidP="00101015">
            <w:pPr>
              <w:rPr>
                <w:rFonts w:ascii="Arial" w:hAnsi="Arial" w:cs="Arial"/>
                <w:sz w:val="24"/>
                <w:lang w:val="es-MX"/>
              </w:rPr>
            </w:pPr>
            <w:r w:rsidRPr="00101015">
              <w:rPr>
                <w:rFonts w:ascii="Arial" w:hAnsi="Arial" w:cs="Arial"/>
                <w:b/>
                <w:sz w:val="24"/>
                <w:lang w:val="es-MX"/>
              </w:rPr>
              <w:t>Números telefónicos:</w:t>
            </w:r>
            <w:r w:rsidRPr="00823CFF">
              <w:rPr>
                <w:rFonts w:ascii="Arial" w:hAnsi="Arial" w:cs="Arial"/>
                <w:sz w:val="24"/>
                <w:lang w:val="es-MX"/>
              </w:rPr>
              <w:t xml:space="preserve"> </w:t>
            </w:r>
          </w:p>
          <w:p w14:paraId="5289A5D4" w14:textId="77777777" w:rsidR="00101015" w:rsidRDefault="00101015" w:rsidP="00101015">
            <w:pPr>
              <w:rPr>
                <w:rFonts w:ascii="Arial" w:hAnsi="Arial" w:cs="Arial"/>
                <w:sz w:val="24"/>
                <w:lang w:val="es-MX"/>
              </w:rPr>
            </w:pPr>
          </w:p>
          <w:p w14:paraId="641DA99B" w14:textId="77777777" w:rsidR="00101015" w:rsidRDefault="00101015" w:rsidP="00101015">
            <w:pPr>
              <w:rPr>
                <w:rFonts w:ascii="Arial" w:hAnsi="Arial" w:cs="Arial"/>
                <w:sz w:val="24"/>
                <w:lang w:val="es-MX"/>
              </w:rPr>
            </w:pPr>
            <w:r w:rsidRPr="00823CFF">
              <w:rPr>
                <w:rFonts w:ascii="Arial" w:hAnsi="Arial" w:cs="Arial"/>
                <w:sz w:val="24"/>
                <w:lang w:val="es-MX"/>
              </w:rPr>
              <w:t>951144</w:t>
            </w:r>
            <w:r>
              <w:rPr>
                <w:rFonts w:ascii="Arial" w:hAnsi="Arial" w:cs="Arial"/>
                <w:sz w:val="24"/>
                <w:lang w:val="es-MX"/>
              </w:rPr>
              <w:t>7028 y 9511447029 extensión 123.</w:t>
            </w:r>
          </w:p>
          <w:p w14:paraId="51D2C2F5" w14:textId="77777777" w:rsidR="00101015" w:rsidRDefault="00101015" w:rsidP="00101015">
            <w:pPr>
              <w:rPr>
                <w:rFonts w:ascii="Arial" w:hAnsi="Arial" w:cs="Arial"/>
                <w:sz w:val="24"/>
                <w:lang w:val="es-MX"/>
              </w:rPr>
            </w:pPr>
          </w:p>
          <w:p w14:paraId="172A19C7" w14:textId="28996ED5" w:rsidR="00101015" w:rsidRPr="00823CFF" w:rsidRDefault="00101015" w:rsidP="00101015">
            <w:pPr>
              <w:rPr>
                <w:rFonts w:ascii="Arial" w:hAnsi="Arial" w:cs="Arial"/>
                <w:sz w:val="24"/>
                <w:lang w:val="es-MX"/>
              </w:rPr>
            </w:pPr>
            <w:r w:rsidRPr="00823CFF">
              <w:rPr>
                <w:rFonts w:ascii="Arial" w:hAnsi="Arial" w:cs="Arial"/>
                <w:sz w:val="24"/>
                <w:lang w:val="es-MX"/>
              </w:rPr>
              <w:t xml:space="preserve">correo electrónico: cepcotransparencia@hotmail.com, con la persona Responsable de la Unidad de Transparencia. Con un horario de atención al público de 9:00 a 15:00 horas, de lunes a viernes.   Se adjunta archivo. </w:t>
            </w:r>
          </w:p>
          <w:p w14:paraId="452BAB2E" w14:textId="77777777" w:rsidR="00101015" w:rsidRPr="00823CFF" w:rsidRDefault="00101015" w:rsidP="00101015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3752CCEB" w14:textId="77777777" w:rsidR="00101015" w:rsidRPr="00823CFF" w:rsidRDefault="00101015" w:rsidP="00101015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823CFF">
              <w:rPr>
                <w:rFonts w:ascii="Arial" w:hAnsi="Arial" w:cs="Arial"/>
                <w:sz w:val="24"/>
                <w:lang w:val="es-MX"/>
              </w:rPr>
              <w:t xml:space="preserve">Atentamente </w:t>
            </w:r>
          </w:p>
          <w:p w14:paraId="7E8C189A" w14:textId="77777777" w:rsidR="00101015" w:rsidRPr="00823CFF" w:rsidRDefault="00101015" w:rsidP="00101015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5F98C5DA" w14:textId="77777777" w:rsidR="00101015" w:rsidRPr="00823CFF" w:rsidRDefault="00101015" w:rsidP="00101015">
            <w:pPr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823CFF">
              <w:rPr>
                <w:rFonts w:ascii="Arial" w:hAnsi="Arial" w:cs="Arial"/>
                <w:sz w:val="24"/>
                <w:lang w:val="es-MX"/>
              </w:rPr>
              <w:t>C. Joaquín Omar Rodríguez García</w:t>
            </w:r>
          </w:p>
          <w:p w14:paraId="18CDAE9A" w14:textId="02EB2A6B" w:rsidR="00101015" w:rsidRPr="00823CFF" w:rsidRDefault="00101015" w:rsidP="00101015">
            <w:pPr>
              <w:jc w:val="both"/>
              <w:rPr>
                <w:lang w:val="es-MX"/>
              </w:rPr>
            </w:pPr>
            <w:r w:rsidRPr="00823CFF">
              <w:rPr>
                <w:rFonts w:ascii="Arial" w:hAnsi="Arial" w:cs="Arial"/>
                <w:sz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554969D2" w14:textId="77777777" w:rsidR="00101015" w:rsidRPr="00D82BC3" w:rsidRDefault="00101015" w:rsidP="0010101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7C6D6EE7" w14:textId="19CFFCB3" w:rsidR="00101015" w:rsidRPr="00D82BC3" w:rsidRDefault="00101015" w:rsidP="0010101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11/02/2022</w:t>
            </w:r>
          </w:p>
          <w:p w14:paraId="0D4484D7" w14:textId="77777777" w:rsidR="00101015" w:rsidRPr="00755A3B" w:rsidRDefault="00101015" w:rsidP="0010101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5B016C0" w14:textId="77777777" w:rsidR="00101015" w:rsidRPr="00823CFF" w:rsidRDefault="00101015" w:rsidP="0010101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76" w:type="dxa"/>
          </w:tcPr>
          <w:p w14:paraId="18A8D565" w14:textId="77777777" w:rsidR="00101015" w:rsidRPr="00D82BC3" w:rsidRDefault="00101015" w:rsidP="0010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00F3A64" w14:textId="77777777" w:rsidR="00101015" w:rsidRPr="00D82BC3" w:rsidRDefault="00101015" w:rsidP="0010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33FD8BC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6A65EF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D56029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BD6E9AD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ECF5116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69E86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5DC32E0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989E0E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F47866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BB9774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AE1209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F6B564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999A29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BC191E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1C886A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AA0F5F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D1C6037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A3FA5E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C8C091" w14:textId="77777777" w:rsidR="00101015" w:rsidRPr="00D82BC3" w:rsidRDefault="00101015" w:rsidP="0010101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657E31" w14:textId="77777777" w:rsidR="00101015" w:rsidRPr="00823CFF" w:rsidRDefault="00101015" w:rsidP="00101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6D33A1CD" w:rsidR="00AA78CA" w:rsidRPr="00755A3B" w:rsidRDefault="0055206D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5</w:t>
            </w:r>
          </w:p>
        </w:tc>
      </w:tr>
    </w:tbl>
    <w:p w14:paraId="1DEB976F" w14:textId="732EE0CF" w:rsidR="00B44DB8" w:rsidRPr="00D82BC3" w:rsidRDefault="00AA78CA" w:rsidP="00D82BC3">
      <w:pPr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1851AB0" w14:textId="3484518E" w:rsidR="00C422FB" w:rsidRDefault="00C422FB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3397493" w14:textId="5C518773" w:rsidR="0055206D" w:rsidRDefault="0055206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C6305A" w14:textId="44E12FB6" w:rsidR="0055206D" w:rsidRDefault="0055206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DF02386" w14:textId="7A8098E9" w:rsidR="0055206D" w:rsidRDefault="0055206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7720D3" w14:textId="3423DE90" w:rsidR="0055206D" w:rsidRDefault="0055206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1E01B8" w14:textId="77777777" w:rsidR="00861F1D" w:rsidRPr="00D82BC3" w:rsidRDefault="00861F1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14:paraId="03BD6069" w14:textId="721D4481" w:rsidR="00AA78CA" w:rsidRPr="00D82BC3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lastRenderedPageBreak/>
        <w:t>ACUERDO:</w:t>
      </w:r>
    </w:p>
    <w:p w14:paraId="13284A27" w14:textId="77777777" w:rsidR="00AA78CA" w:rsidRPr="00D82BC3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B181E1" w14:textId="528D313C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506B62">
        <w:rPr>
          <w:rFonts w:ascii="Arial" w:hAnsi="Arial" w:cs="Arial"/>
        </w:rPr>
        <w:t>s</w:t>
      </w:r>
      <w:r w:rsidR="00E40C6C">
        <w:rPr>
          <w:rFonts w:ascii="Arial" w:hAnsi="Arial" w:cs="Arial"/>
        </w:rPr>
        <w:t xml:space="preserve"> solicitud</w:t>
      </w:r>
      <w:r w:rsidR="00506B62">
        <w:rPr>
          <w:rFonts w:ascii="Arial" w:hAnsi="Arial" w:cs="Arial"/>
        </w:rPr>
        <w:t>es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acceso a la información o de derechos ARCOP, identificada</w:t>
      </w:r>
      <w:r w:rsidR="00506B62">
        <w:rPr>
          <w:rFonts w:ascii="Arial" w:hAnsi="Arial" w:cs="Arial"/>
        </w:rPr>
        <w:t>s</w:t>
      </w:r>
      <w:r w:rsidR="00E40C6C">
        <w:rPr>
          <w:rFonts w:ascii="Arial" w:hAnsi="Arial" w:cs="Arial"/>
        </w:rPr>
        <w:t xml:space="preserve"> con </w:t>
      </w:r>
      <w:r w:rsidR="00506B62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506B62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506B62">
        <w:rPr>
          <w:rStyle w:val="form-control"/>
          <w:rFonts w:ascii="Arial" w:hAnsi="Arial" w:cs="Arial"/>
          <w:b/>
        </w:rPr>
        <w:t>202728522000026, 20</w:t>
      </w:r>
      <w:r w:rsidR="00101015">
        <w:rPr>
          <w:rStyle w:val="form-control"/>
          <w:rFonts w:ascii="Arial" w:hAnsi="Arial" w:cs="Arial"/>
          <w:b/>
        </w:rPr>
        <w:t>2728522000027, 202728522000032,</w:t>
      </w:r>
      <w:r w:rsidR="00506B62">
        <w:rPr>
          <w:rStyle w:val="form-control"/>
          <w:rFonts w:ascii="Arial" w:hAnsi="Arial" w:cs="Arial"/>
          <w:b/>
        </w:rPr>
        <w:t xml:space="preserve"> 202728522000034</w:t>
      </w:r>
      <w:r w:rsidR="00101015">
        <w:rPr>
          <w:rStyle w:val="form-control"/>
          <w:rFonts w:ascii="Arial" w:hAnsi="Arial" w:cs="Arial"/>
          <w:b/>
        </w:rPr>
        <w:t xml:space="preserve"> y </w:t>
      </w:r>
      <w:r w:rsidR="00101015" w:rsidRPr="0055206D">
        <w:rPr>
          <w:rStyle w:val="form-control"/>
          <w:rFonts w:ascii="Arial" w:hAnsi="Arial" w:cs="Arial"/>
          <w:b/>
        </w:rPr>
        <w:t>202728522000039</w:t>
      </w:r>
      <w:r w:rsidRPr="0055206D">
        <w:rPr>
          <w:rFonts w:ascii="Arial" w:hAnsi="Arial" w:cs="Arial"/>
          <w:b/>
          <w:bCs/>
          <w:color w:val="000000"/>
        </w:rPr>
        <w:t xml:space="preserve">. </w:t>
      </w:r>
      <w:r w:rsidRPr="0055206D">
        <w:rPr>
          <w:rFonts w:ascii="Arial" w:hAnsi="Arial" w:cs="Arial"/>
          <w:bCs/>
          <w:color w:val="000000"/>
        </w:rPr>
        <w:t>-</w:t>
      </w:r>
      <w:r w:rsidRPr="00D82BC3">
        <w:rPr>
          <w:rFonts w:ascii="Arial" w:hAnsi="Arial" w:cs="Arial"/>
          <w:bCs/>
          <w:color w:val="000000"/>
        </w:rPr>
        <w:t xml:space="preserve"> </w:t>
      </w:r>
      <w:r w:rsidR="00101015">
        <w:rPr>
          <w:rFonts w:ascii="Arial" w:hAnsi="Arial" w:cs="Arial"/>
          <w:bCs/>
          <w:color w:val="000000"/>
        </w:rPr>
        <w:t>- - - - - - - - - - - - - - - - - - - - - - - - - - - -- - -</w:t>
      </w:r>
      <w:r w:rsidR="0055206D">
        <w:rPr>
          <w:rFonts w:ascii="Arial" w:hAnsi="Arial" w:cs="Arial"/>
          <w:bCs/>
          <w:color w:val="000000"/>
        </w:rPr>
        <w:t xml:space="preserve"> - - - - - - - - - - - - - - </w:t>
      </w:r>
    </w:p>
    <w:p w14:paraId="33D041B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43C8DE9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4424337F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87710" w14:textId="5FBB5D0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055724" w:rsidRPr="00D82BC3"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E10C3" w:rsidRPr="006E10C3">
        <w:rPr>
          <w:rFonts w:ascii="Arial" w:hAnsi="Arial" w:cs="Arial"/>
        </w:rPr>
        <w:t>Séptima</w:t>
      </w:r>
      <w:r w:rsidRPr="00D82BC3">
        <w:rPr>
          <w:rFonts w:ascii="Arial" w:hAnsi="Arial" w:cs="Arial"/>
        </w:rPr>
        <w:t xml:space="preserve"> Sesión Extraordinaria del Comité de Transparencia, el </w:t>
      </w:r>
      <w:r w:rsidR="00101015">
        <w:rPr>
          <w:rFonts w:ascii="Arial" w:hAnsi="Arial" w:cs="Arial"/>
        </w:rPr>
        <w:t>once</w:t>
      </w:r>
      <w:r w:rsidRPr="00D82BC3">
        <w:rPr>
          <w:rFonts w:ascii="Arial" w:hAnsi="Arial" w:cs="Arial"/>
        </w:rPr>
        <w:t xml:space="preserve"> de </w:t>
      </w:r>
      <w:r w:rsidR="00506B62"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D82BC3">
        <w:rPr>
          <w:rFonts w:ascii="Arial" w:hAnsi="Arial" w:cs="Arial"/>
        </w:rPr>
        <w:t xml:space="preserve">- - - - - - - - - - - - </w:t>
      </w:r>
      <w:r w:rsidR="002960BC">
        <w:rPr>
          <w:rFonts w:ascii="Arial" w:hAnsi="Arial" w:cs="Arial"/>
        </w:rPr>
        <w:t>- - -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1EF949" w14:textId="6C0C6B7C" w:rsidR="005855FC" w:rsidRDefault="005855FC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8DE03B" w14:textId="13B46DBF" w:rsidR="005855FC" w:rsidRDefault="005855FC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53603F" w14:textId="77777777" w:rsidR="00D82BC3" w:rsidRP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37EAE" w14:textId="77777777" w:rsidR="00AA78CA" w:rsidRPr="00D82BC3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039F350C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637A9626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B5AC2"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03B4802F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5D2ACDF7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4E2C65EE" w14:textId="0BF4076D" w:rsidR="00CA4257" w:rsidRDefault="00CA4257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CDA8FB" w14:textId="5C07C297" w:rsidR="00CA4257" w:rsidRDefault="00CA4257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A4257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90037" w14:textId="77777777" w:rsidR="00D24D44" w:rsidRDefault="00D24D44" w:rsidP="00505074">
      <w:r>
        <w:separator/>
      </w:r>
    </w:p>
  </w:endnote>
  <w:endnote w:type="continuationSeparator" w:id="0">
    <w:p w14:paraId="4E8D3202" w14:textId="77777777" w:rsidR="00D24D44" w:rsidRDefault="00D24D4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1BA76CC1" w:rsidR="00D82BC3" w:rsidRDefault="00D82BC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1F1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1F1D">
              <w:rPr>
                <w:b/>
                <w:bCs/>
                <w:noProof/>
              </w:rPr>
              <w:t>23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D82BC3" w:rsidRDefault="00D82B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E711E" w14:textId="77777777" w:rsidR="00D24D44" w:rsidRDefault="00D24D44" w:rsidP="00505074">
      <w:r>
        <w:separator/>
      </w:r>
    </w:p>
  </w:footnote>
  <w:footnote w:type="continuationSeparator" w:id="0">
    <w:p w14:paraId="544316AE" w14:textId="77777777" w:rsidR="00D24D44" w:rsidRDefault="00D24D4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419FF"/>
    <w:rsid w:val="000423E1"/>
    <w:rsid w:val="00055724"/>
    <w:rsid w:val="00075AB7"/>
    <w:rsid w:val="000C136A"/>
    <w:rsid w:val="000F1F8C"/>
    <w:rsid w:val="00101015"/>
    <w:rsid w:val="001266EB"/>
    <w:rsid w:val="00150315"/>
    <w:rsid w:val="0015524B"/>
    <w:rsid w:val="0017734C"/>
    <w:rsid w:val="00191709"/>
    <w:rsid w:val="001C3A24"/>
    <w:rsid w:val="001C5977"/>
    <w:rsid w:val="001D30EE"/>
    <w:rsid w:val="002060F1"/>
    <w:rsid w:val="002408F3"/>
    <w:rsid w:val="00264E0A"/>
    <w:rsid w:val="002960BC"/>
    <w:rsid w:val="002C54D1"/>
    <w:rsid w:val="002D152B"/>
    <w:rsid w:val="00320B59"/>
    <w:rsid w:val="0037163E"/>
    <w:rsid w:val="003B5AC2"/>
    <w:rsid w:val="003E6C76"/>
    <w:rsid w:val="003F7C21"/>
    <w:rsid w:val="0041357F"/>
    <w:rsid w:val="00496B6A"/>
    <w:rsid w:val="004C30AF"/>
    <w:rsid w:val="00505074"/>
    <w:rsid w:val="00506B62"/>
    <w:rsid w:val="00510F80"/>
    <w:rsid w:val="00534ED0"/>
    <w:rsid w:val="0055206D"/>
    <w:rsid w:val="005855FC"/>
    <w:rsid w:val="005B5D2F"/>
    <w:rsid w:val="005C5473"/>
    <w:rsid w:val="005F6794"/>
    <w:rsid w:val="00606FBD"/>
    <w:rsid w:val="0061401C"/>
    <w:rsid w:val="006647D2"/>
    <w:rsid w:val="006E10C3"/>
    <w:rsid w:val="00726266"/>
    <w:rsid w:val="007A3E15"/>
    <w:rsid w:val="007D7122"/>
    <w:rsid w:val="00801920"/>
    <w:rsid w:val="00823CFF"/>
    <w:rsid w:val="00840202"/>
    <w:rsid w:val="008416FB"/>
    <w:rsid w:val="0085347F"/>
    <w:rsid w:val="00861F1D"/>
    <w:rsid w:val="008C6642"/>
    <w:rsid w:val="008F6129"/>
    <w:rsid w:val="009100C6"/>
    <w:rsid w:val="00920943"/>
    <w:rsid w:val="00964FD2"/>
    <w:rsid w:val="009752B0"/>
    <w:rsid w:val="009E20E2"/>
    <w:rsid w:val="009E2DEA"/>
    <w:rsid w:val="009F797C"/>
    <w:rsid w:val="00A16ECF"/>
    <w:rsid w:val="00A23553"/>
    <w:rsid w:val="00A2687F"/>
    <w:rsid w:val="00A31065"/>
    <w:rsid w:val="00A56332"/>
    <w:rsid w:val="00A75394"/>
    <w:rsid w:val="00AA78CA"/>
    <w:rsid w:val="00AB77FB"/>
    <w:rsid w:val="00AC24BC"/>
    <w:rsid w:val="00AD5645"/>
    <w:rsid w:val="00B44DB8"/>
    <w:rsid w:val="00BE1E75"/>
    <w:rsid w:val="00C05DD3"/>
    <w:rsid w:val="00C07082"/>
    <w:rsid w:val="00C25E29"/>
    <w:rsid w:val="00C335F7"/>
    <w:rsid w:val="00C422FB"/>
    <w:rsid w:val="00C506C0"/>
    <w:rsid w:val="00C6596A"/>
    <w:rsid w:val="00CA4257"/>
    <w:rsid w:val="00CB7833"/>
    <w:rsid w:val="00CC05E7"/>
    <w:rsid w:val="00CF76AC"/>
    <w:rsid w:val="00D0692B"/>
    <w:rsid w:val="00D14300"/>
    <w:rsid w:val="00D24D44"/>
    <w:rsid w:val="00D7698C"/>
    <w:rsid w:val="00D80897"/>
    <w:rsid w:val="00D82BC3"/>
    <w:rsid w:val="00D96B13"/>
    <w:rsid w:val="00DB128C"/>
    <w:rsid w:val="00DC0B0F"/>
    <w:rsid w:val="00DC1402"/>
    <w:rsid w:val="00DC65C4"/>
    <w:rsid w:val="00E40C6C"/>
    <w:rsid w:val="00EE48C4"/>
    <w:rsid w:val="00F023FE"/>
    <w:rsid w:val="00F36284"/>
    <w:rsid w:val="00F42E8F"/>
    <w:rsid w:val="00F52D43"/>
    <w:rsid w:val="00F56F58"/>
    <w:rsid w:val="00F854FE"/>
    <w:rsid w:val="00F8596A"/>
    <w:rsid w:val="00FA4C31"/>
    <w:rsid w:val="00FA65C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6EB40-AC3F-4B67-A254-797B7F6F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4444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4</cp:revision>
  <cp:lastPrinted>2022-02-10T18:49:00Z</cp:lastPrinted>
  <dcterms:created xsi:type="dcterms:W3CDTF">2022-02-11T16:09:00Z</dcterms:created>
  <dcterms:modified xsi:type="dcterms:W3CDTF">2022-02-11T16:20:00Z</dcterms:modified>
</cp:coreProperties>
</file>