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72683" w14:textId="4E08B7EC" w:rsidR="00AA78CA" w:rsidRPr="00D82BC3" w:rsidRDefault="00A60DF6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</w:t>
      </w:r>
      <w:r w:rsidR="00B90F84">
        <w:rPr>
          <w:rFonts w:ascii="Arial" w:hAnsi="Arial" w:cs="Arial"/>
          <w:b/>
          <w:bCs/>
        </w:rPr>
        <w:t>0</w:t>
      </w:r>
      <w:r w:rsidR="006D3617">
        <w:rPr>
          <w:rFonts w:ascii="Arial" w:hAnsi="Arial" w:cs="Arial"/>
          <w:b/>
          <w:bCs/>
        </w:rPr>
        <w:t>12</w:t>
      </w:r>
      <w:r w:rsidR="00AA78CA"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 w:rsidR="00BF58F9">
        <w:rPr>
          <w:rFonts w:ascii="Arial" w:hAnsi="Arial" w:cs="Arial"/>
          <w:b/>
          <w:bCs/>
        </w:rPr>
        <w:t xml:space="preserve"> - - - - - </w:t>
      </w:r>
    </w:p>
    <w:p w14:paraId="0A0D2D56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690E322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F664D3D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2AE1EB6" w14:textId="2ADD3F43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</w:t>
      </w:r>
      <w:r w:rsidR="00E40C6C" w:rsidRPr="00D82BC3">
        <w:rPr>
          <w:rFonts w:ascii="Arial" w:eastAsia="Calibri" w:hAnsi="Arial" w:cs="Arial"/>
        </w:rPr>
        <w:t>Transparencia. -</w:t>
      </w:r>
      <w:r w:rsidR="003B5AC2" w:rsidRPr="00D82BC3">
        <w:rPr>
          <w:rFonts w:ascii="Arial" w:eastAsia="Calibri" w:hAnsi="Arial" w:cs="Arial"/>
        </w:rPr>
        <w:t xml:space="preserve"> - - - </w:t>
      </w:r>
      <w:r w:rsidR="00D82BC3">
        <w:rPr>
          <w:rFonts w:ascii="Arial" w:eastAsia="Calibri" w:hAnsi="Arial" w:cs="Arial"/>
        </w:rPr>
        <w:t xml:space="preserve">- - - - - - </w:t>
      </w:r>
    </w:p>
    <w:p w14:paraId="369095CC" w14:textId="77777777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2624FBCA" w14:textId="61957B38" w:rsidR="00AA78CA" w:rsidRPr="00BF58F9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>En atención a</w:t>
      </w:r>
      <w:r w:rsidR="006D3617">
        <w:rPr>
          <w:rFonts w:ascii="Arial" w:eastAsia="Calibri" w:hAnsi="Arial" w:cs="Arial"/>
        </w:rPr>
        <w:t xml:space="preserve"> </w:t>
      </w:r>
      <w:r w:rsidR="00A60DF6">
        <w:rPr>
          <w:rFonts w:ascii="Arial" w:eastAsia="Calibri" w:hAnsi="Arial" w:cs="Arial"/>
        </w:rPr>
        <w:t>l</w:t>
      </w:r>
      <w:r w:rsidR="006D3617">
        <w:rPr>
          <w:rFonts w:ascii="Arial" w:eastAsia="Calibri" w:hAnsi="Arial" w:cs="Arial"/>
        </w:rPr>
        <w:t>os</w:t>
      </w:r>
      <w:r w:rsidR="00A60DF6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oficio</w:t>
      </w:r>
      <w:r w:rsidR="006D3617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con número</w:t>
      </w:r>
      <w:r w:rsidR="006D3617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: </w:t>
      </w:r>
      <w:r w:rsidR="006D3617">
        <w:rPr>
          <w:rFonts w:ascii="Arial" w:eastAsia="Calibri" w:hAnsi="Arial" w:cs="Arial"/>
          <w:b/>
          <w:bCs/>
        </w:rPr>
        <w:t>OGAIPO/UT/154</w:t>
      </w:r>
      <w:r w:rsidRPr="00D82BC3">
        <w:rPr>
          <w:rFonts w:ascii="Arial" w:eastAsia="Calibri" w:hAnsi="Arial" w:cs="Arial"/>
          <w:b/>
          <w:bCs/>
        </w:rPr>
        <w:t>/2022</w:t>
      </w:r>
      <w:r w:rsidR="006D3617">
        <w:rPr>
          <w:rFonts w:ascii="Arial" w:eastAsia="Calibri" w:hAnsi="Arial" w:cs="Arial"/>
          <w:b/>
          <w:bCs/>
        </w:rPr>
        <w:t xml:space="preserve"> y OGAIPO/UT/155</w:t>
      </w:r>
      <w:r w:rsidR="006D3617" w:rsidRPr="00D82BC3">
        <w:rPr>
          <w:rFonts w:ascii="Arial" w:eastAsia="Calibri" w:hAnsi="Arial" w:cs="Arial"/>
          <w:b/>
          <w:bCs/>
        </w:rPr>
        <w:t>/2022</w:t>
      </w:r>
      <w:r w:rsidR="0017734C">
        <w:rPr>
          <w:rFonts w:ascii="Arial" w:eastAsia="Calibri" w:hAnsi="Arial" w:cs="Arial"/>
          <w:b/>
          <w:bCs/>
        </w:rPr>
        <w:t>,</w:t>
      </w:r>
      <w:r w:rsidR="00CF76AC">
        <w:rPr>
          <w:rFonts w:ascii="Arial" w:eastAsia="Calibri" w:hAnsi="Arial" w:cs="Arial"/>
          <w:b/>
          <w:bCs/>
        </w:rPr>
        <w:t xml:space="preserve"> </w:t>
      </w:r>
      <w:r w:rsidRPr="00D82BC3">
        <w:rPr>
          <w:rFonts w:ascii="Arial" w:eastAsia="Calibri" w:hAnsi="Arial" w:cs="Arial"/>
        </w:rPr>
        <w:t>recibido</w:t>
      </w:r>
      <w:r w:rsidR="006D3617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con fecha </w:t>
      </w:r>
      <w:r w:rsidR="006D3617">
        <w:rPr>
          <w:rFonts w:ascii="Arial" w:eastAsia="Calibri" w:hAnsi="Arial" w:cs="Arial"/>
        </w:rPr>
        <w:t>treinta y uno</w:t>
      </w:r>
      <w:r w:rsidR="00A60DF6">
        <w:rPr>
          <w:rFonts w:ascii="Arial" w:eastAsia="Calibri" w:hAnsi="Arial" w:cs="Arial"/>
        </w:rPr>
        <w:t xml:space="preserve"> de marzo</w:t>
      </w:r>
      <w:r w:rsidR="00101015">
        <w:rPr>
          <w:rFonts w:ascii="Arial" w:eastAsia="Calibri" w:hAnsi="Arial" w:cs="Arial"/>
        </w:rPr>
        <w:t xml:space="preserve"> de 2022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 w:rsidR="00D82BC3">
        <w:rPr>
          <w:rFonts w:ascii="Arial" w:eastAsia="Calibri" w:hAnsi="Arial" w:cs="Arial"/>
        </w:rPr>
        <w:t xml:space="preserve">admite y analiza lo </w:t>
      </w:r>
      <w:r w:rsidR="00E40C6C">
        <w:rPr>
          <w:rFonts w:ascii="Arial" w:eastAsia="Calibri" w:hAnsi="Arial" w:cs="Arial"/>
        </w:rPr>
        <w:t>conducente.</w:t>
      </w:r>
      <w:r w:rsidR="00E40C6C" w:rsidRPr="00D82BC3">
        <w:rPr>
          <w:rFonts w:ascii="Arial" w:eastAsia="Calibri" w:hAnsi="Arial" w:cs="Arial"/>
        </w:rPr>
        <w:t xml:space="preserve"> -</w:t>
      </w:r>
      <w:r w:rsidR="00A60DF6">
        <w:rPr>
          <w:rFonts w:ascii="Arial" w:eastAsia="Calibri" w:hAnsi="Arial" w:cs="Arial"/>
        </w:rPr>
        <w:t xml:space="preserve"> - - - - - - - - - - - - - - - - </w:t>
      </w:r>
    </w:p>
    <w:p w14:paraId="2C0937D3" w14:textId="77777777" w:rsidR="00B90F84" w:rsidRPr="00D82BC3" w:rsidRDefault="00B90F84" w:rsidP="00AA78CA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73DC3C03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6147E74E" w14:textId="4BF3805D" w:rsidR="00B90F84" w:rsidRPr="00D82BC3" w:rsidRDefault="00B90F84" w:rsidP="00BF58F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403E8946" w14:textId="068A17E6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</w:t>
      </w:r>
      <w:r w:rsidR="00F8596A" w:rsidRPr="006E10C3">
        <w:rPr>
          <w:rFonts w:ascii="Arial" w:eastAsia="Calibri" w:hAnsi="Arial" w:cs="Arial"/>
        </w:rPr>
        <w:t>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 w:rsidR="00D82BC3">
        <w:rPr>
          <w:rFonts w:ascii="Arial" w:eastAsia="Calibri" w:hAnsi="Arial" w:cs="Arial"/>
        </w:rPr>
        <w:t xml:space="preserve">- - - - - - - - - - - - - - - - - - - - - - - </w:t>
      </w:r>
    </w:p>
    <w:p w14:paraId="39E31575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A69A8F7" w14:textId="72F6ACDF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hAnsi="Arial" w:cs="Arial"/>
          <w:b/>
          <w:bCs/>
        </w:rPr>
        <w:t xml:space="preserve">SEGUNDO. </w:t>
      </w:r>
      <w:r w:rsidRPr="00D82BC3">
        <w:rPr>
          <w:rFonts w:ascii="Arial" w:eastAsia="Calibri" w:hAnsi="Arial" w:cs="Arial"/>
        </w:rPr>
        <w:t>Para atender dicha</w:t>
      </w:r>
      <w:r w:rsidR="00A75394">
        <w:rPr>
          <w:rFonts w:ascii="Arial" w:eastAsia="Calibri" w:hAnsi="Arial" w:cs="Arial"/>
        </w:rPr>
        <w:t>s orientaciones</w:t>
      </w:r>
      <w:r w:rsidRPr="00D82BC3">
        <w:rPr>
          <w:rFonts w:ascii="Arial" w:eastAsia="Calibri" w:hAnsi="Arial" w:cs="Arial"/>
        </w:rPr>
        <w:t>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enseguida.- - - - - - - - - - - - - - - - - - - - -</w:t>
      </w:r>
      <w:r w:rsidR="00D82BC3">
        <w:rPr>
          <w:rFonts w:ascii="Arial" w:eastAsia="Calibri" w:hAnsi="Arial" w:cs="Arial"/>
        </w:rPr>
        <w:t xml:space="preserve"> - - - - - - - - - - - - - - - - - - - - - - - - - </w:t>
      </w:r>
    </w:p>
    <w:p w14:paraId="72840616" w14:textId="7936D3C6" w:rsidR="00AA78CA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7674113" w14:textId="28350A41" w:rsidR="00BF58F9" w:rsidRDefault="00BF58F9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5D73569" w14:textId="77777777" w:rsidR="00BF58F9" w:rsidRDefault="00BF58F9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A78CA" w:rsidRPr="00755A3B" w14:paraId="4B42D68A" w14:textId="77777777" w:rsidTr="00D82BC3">
        <w:tc>
          <w:tcPr>
            <w:tcW w:w="690" w:type="dxa"/>
            <w:shd w:val="clear" w:color="auto" w:fill="E7E6E6" w:themeFill="background2"/>
            <w:vAlign w:val="center"/>
          </w:tcPr>
          <w:p w14:paraId="4DEA6B95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52E1B0E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44D0BF74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74D970A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6A82291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tr w:rsidR="00AA78CA" w:rsidRPr="00755A3B" w14:paraId="46F4626E" w14:textId="77777777" w:rsidTr="00D82BC3">
        <w:tc>
          <w:tcPr>
            <w:tcW w:w="690" w:type="dxa"/>
            <w:tcBorders>
              <w:bottom w:val="single" w:sz="4" w:space="0" w:color="auto"/>
            </w:tcBorders>
          </w:tcPr>
          <w:p w14:paraId="5E2D3902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07F0E982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726266"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3AC34B" w14:textId="77777777" w:rsidR="00AA78CA" w:rsidRPr="00726266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962EE63" w14:textId="00EDC895" w:rsidR="00AA78CA" w:rsidRPr="00726266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Folio:    </w:t>
            </w:r>
            <w:r w:rsidR="00722C90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202728522000057</w:t>
            </w:r>
          </w:p>
          <w:p w14:paraId="7343A346" w14:textId="77777777" w:rsidR="00A60DF6" w:rsidRDefault="00A60DF6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7CB61B6" w14:textId="203D85D3" w:rsidR="00AA78CA" w:rsidRPr="00726266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407052D7" w14:textId="79C43AEA" w:rsidR="00AA78CA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1060BA3" w14:textId="44CE051A" w:rsidR="0017734C" w:rsidRDefault="006D3617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1.</w:t>
            </w:r>
            <w:r w:rsidR="00722C90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- ¿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Qué es el robo de identidad digital?</w:t>
            </w:r>
          </w:p>
          <w:p w14:paraId="6DB8BFE6" w14:textId="1CAEA47E" w:rsidR="006D3617" w:rsidRDefault="006D3617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2.- -cuál es el proceso identificado en los casos de robo de identidad digital.</w:t>
            </w:r>
          </w:p>
          <w:p w14:paraId="6D435862" w14:textId="00614E4C" w:rsidR="006D3617" w:rsidRDefault="006D3617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3.- Redes sociales más utilizadas en Oaxaca (porcentajes de usuarios antes de pandemia 2018-2019 y porcentajes de usuarios durante pandemia 2020-2022).</w:t>
            </w:r>
          </w:p>
          <w:p w14:paraId="300565E5" w14:textId="20B973E9" w:rsidR="006D3617" w:rsidRDefault="002F0968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4.- Cómo afecta el robo de identidad a los usuarios (consecuencias).</w:t>
            </w:r>
          </w:p>
          <w:p w14:paraId="05A06E6A" w14:textId="70F86E9D" w:rsidR="002F0968" w:rsidRDefault="002F0968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5.-porcentaje de oaxaqueños con acceso a internet (porcentajes de usuarios antes de pandemia 2018-2019 y porcentajes de usuarios durante pandemia 2020-2022).</w:t>
            </w:r>
          </w:p>
          <w:p w14:paraId="05B883D6" w14:textId="780B7096" w:rsidR="002F0968" w:rsidRDefault="002F0968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6.- Servidores públicos que se han visto afectados por el robo de cuentas y consecuencias.</w:t>
            </w:r>
          </w:p>
          <w:p w14:paraId="69EB2F30" w14:textId="7595A0B9" w:rsidR="002F0968" w:rsidRDefault="002F0968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7.- Sectores de la población más vulnerables al robo de identidad.</w:t>
            </w:r>
          </w:p>
          <w:p w14:paraId="6E5092AD" w14:textId="77777777" w:rsidR="002F0968" w:rsidRDefault="002F0968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8.- Medidas para prevenir el robo de identidad.</w:t>
            </w:r>
          </w:p>
          <w:p w14:paraId="78FE462C" w14:textId="6251F073" w:rsidR="002F0968" w:rsidRDefault="002F0968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9.- Qué medidas, acciones y/o planes existen dentro del estado para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lastRenderedPageBreak/>
              <w:t>enfrentar esta situación y proteger a los ciudadanos y ciudadanas.</w:t>
            </w:r>
          </w:p>
          <w:p w14:paraId="54BC4C18" w14:textId="01EF77CA" w:rsidR="002F0968" w:rsidRPr="00A60DF6" w:rsidRDefault="002F0968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10.-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Indice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de robo de identidad cibernética en el estado (porcentajes de casos antes de pandemia 2018-2019 y porcentajes de casos durante pandemia 2018-2019 y porcentajes de casos durante pandemia 2020-2022)</w:t>
            </w:r>
          </w:p>
          <w:p w14:paraId="52D0C2B8" w14:textId="77777777" w:rsidR="0017734C" w:rsidRDefault="0017734C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F3EA774" w14:textId="3A87E0FA" w:rsidR="00AA78CA" w:rsidRPr="00726266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 w:rsidR="002F0968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61AAD751" w14:textId="77777777" w:rsidR="00AA78CA" w:rsidRPr="00726266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260386D7" w14:textId="77777777" w:rsidR="00CE708F" w:rsidRPr="00CE708F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E708F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Estimado(a) solicitante:</w:t>
            </w:r>
          </w:p>
          <w:p w14:paraId="7058B813" w14:textId="77777777" w:rsidR="00CE708F" w:rsidRPr="00CE708F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CE708F">
              <w:rPr>
                <w:rFonts w:ascii="Arial" w:hAnsi="Arial" w:cs="Arial"/>
                <w:b/>
                <w:sz w:val="24"/>
                <w:szCs w:val="24"/>
                <w:lang w:val="es-MX"/>
              </w:rPr>
              <w:t>ORIENTA</w:t>
            </w:r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169AA62B" w14:textId="77777777" w:rsidR="00CE708F" w:rsidRPr="00CE708F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 xml:space="preserve">Por lo anterior, los Sujetos Obligados que pueden ser competentes para dar respuesta a su solicitud de acceso a la información pública, son los siguientes: </w:t>
            </w:r>
          </w:p>
          <w:p w14:paraId="2CF1A8C8" w14:textId="77777777" w:rsidR="00CE708F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 xml:space="preserve">Para las preguntas 1, 2, 4, 6, 7, 8, 9 y 10 de su solicitud, a la </w:t>
            </w:r>
            <w:r w:rsidRPr="00CE708F">
              <w:rPr>
                <w:rFonts w:ascii="Arial" w:hAnsi="Arial" w:cs="Arial"/>
                <w:b/>
                <w:sz w:val="24"/>
                <w:szCs w:val="24"/>
                <w:lang w:val="es-MX"/>
              </w:rPr>
              <w:t>FISCALÍA GENERAL DEL ESTADO DE OAXACA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0864AACB" w14:textId="77777777" w:rsidR="00CE708F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CE708F">
              <w:rPr>
                <w:rFonts w:ascii="Arial" w:hAnsi="Arial" w:cs="Arial"/>
                <w:b/>
                <w:sz w:val="24"/>
                <w:szCs w:val="24"/>
                <w:lang w:val="es-MX"/>
              </w:rPr>
              <w:t>Ubicación:</w:t>
            </w:r>
          </w:p>
          <w:p w14:paraId="6B635A15" w14:textId="77777777" w:rsidR="00CE708F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 xml:space="preserve">Avenida Gerardo </w:t>
            </w:r>
            <w:proofErr w:type="spellStart"/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>Pandal</w:t>
            </w:r>
            <w:proofErr w:type="spellEnd"/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>Graff</w:t>
            </w:r>
            <w:proofErr w:type="spellEnd"/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 xml:space="preserve"> #1, Fraccionamiento Reyes Mantecón, San Bartolo </w:t>
            </w:r>
            <w:proofErr w:type="spellStart"/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>Coyotepec</w:t>
            </w:r>
            <w:proofErr w:type="spellEnd"/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>, Oaxaca; C.P. 71257.</w:t>
            </w:r>
          </w:p>
          <w:p w14:paraId="22DDF5F5" w14:textId="77777777" w:rsidR="00CE708F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15DC700" w14:textId="77777777" w:rsidR="00CE708F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CE708F">
              <w:rPr>
                <w:rFonts w:ascii="Arial" w:hAnsi="Arial" w:cs="Arial"/>
                <w:b/>
                <w:sz w:val="24"/>
                <w:szCs w:val="24"/>
                <w:lang w:val="es-MX"/>
              </w:rPr>
              <w:t>Número telefónico:</w:t>
            </w:r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4846B292" w14:textId="77777777" w:rsidR="00CE708F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>951 50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16900 extensiones 71257 y 21758.</w:t>
            </w:r>
          </w:p>
          <w:p w14:paraId="566E9DA5" w14:textId="77777777" w:rsidR="00CE708F" w:rsidRDefault="00CE708F" w:rsidP="00CE7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E708F">
              <w:rPr>
                <w:rFonts w:ascii="Arial" w:hAnsi="Arial" w:cs="Arial"/>
                <w:b/>
                <w:sz w:val="24"/>
                <w:szCs w:val="24"/>
                <w:lang w:val="es-MX"/>
              </w:rPr>
              <w:t>correo electrónico:</w:t>
            </w:r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 xml:space="preserve"> utransparencia.fgeo@gmail</w:t>
            </w:r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.com, con la persona Responsable de la Unidad de Transparencia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53EAC519" w14:textId="77777777" w:rsidR="00CE708F" w:rsidRDefault="00CE708F" w:rsidP="00CE7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H</w:t>
            </w:r>
            <w:r w:rsidRPr="00CE708F">
              <w:rPr>
                <w:rFonts w:ascii="Arial" w:hAnsi="Arial" w:cs="Arial"/>
                <w:b/>
                <w:sz w:val="24"/>
                <w:szCs w:val="24"/>
                <w:lang w:val="es-MX"/>
              </w:rPr>
              <w:t>orario de atención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:</w:t>
            </w:r>
          </w:p>
          <w:p w14:paraId="45E57D70" w14:textId="24FD0EBF" w:rsidR="00CE708F" w:rsidRDefault="00CE708F" w:rsidP="00CE7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>e 9:00 a 17:00 horas de lunes a viernes.</w:t>
            </w:r>
          </w:p>
          <w:p w14:paraId="1B2B8DE1" w14:textId="77777777" w:rsidR="00CE708F" w:rsidRPr="00CE708F" w:rsidRDefault="00CE708F" w:rsidP="00CE7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46BE3B" w14:textId="45AD36EA" w:rsidR="00CE708F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 xml:space="preserve">Asimismo, para las preguntas 3 y 5 de su solicitud, al </w:t>
            </w:r>
            <w:r w:rsidRPr="00CE708F">
              <w:rPr>
                <w:rFonts w:ascii="Arial" w:hAnsi="Arial" w:cs="Arial"/>
                <w:b/>
                <w:sz w:val="24"/>
                <w:szCs w:val="24"/>
                <w:lang w:val="es-MX"/>
              </w:rPr>
              <w:t>INSTITUTO NACIONAL DE ESTADÍSTICA Y GEOGRAFÍA (INEGI)</w:t>
            </w:r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>, Delegación Oaxaca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21207644" w14:textId="77777777" w:rsidR="00CE708F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4BF2B96" w14:textId="77777777" w:rsidR="00CE708F" w:rsidRPr="00CE708F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E708F">
              <w:rPr>
                <w:rFonts w:ascii="Arial" w:hAnsi="Arial" w:cs="Arial"/>
                <w:b/>
                <w:sz w:val="24"/>
                <w:szCs w:val="24"/>
                <w:lang w:val="es-MX"/>
              </w:rPr>
              <w:t>Ubicación:</w:t>
            </w:r>
          </w:p>
          <w:p w14:paraId="40276A9A" w14:textId="77777777" w:rsidR="00CE708F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 xml:space="preserve">Calle Emiliano Zapata #316, 3er Nivel, Colonia Reforma, Oaxaca de Juárez, Oaxaca; C.P. 68050. </w:t>
            </w:r>
          </w:p>
          <w:p w14:paraId="33402050" w14:textId="77777777" w:rsidR="00CE708F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E708F">
              <w:rPr>
                <w:rFonts w:ascii="Arial" w:hAnsi="Arial" w:cs="Arial"/>
                <w:b/>
                <w:sz w:val="24"/>
                <w:szCs w:val="24"/>
                <w:lang w:val="es-MX"/>
              </w:rPr>
              <w:t>Número telefónico:</w:t>
            </w:r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351C0B6D" w14:textId="77777777" w:rsidR="00CE708F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951 512 48 07, extensión 2645.</w:t>
            </w:r>
          </w:p>
          <w:p w14:paraId="1B3349FE" w14:textId="77777777" w:rsidR="00CE708F" w:rsidRPr="00CE708F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E708F">
              <w:rPr>
                <w:rFonts w:ascii="Arial" w:hAnsi="Arial" w:cs="Arial"/>
                <w:b/>
                <w:sz w:val="24"/>
                <w:szCs w:val="24"/>
                <w:lang w:val="es-MX"/>
              </w:rPr>
              <w:t>Correo electrónico:</w:t>
            </w:r>
          </w:p>
          <w:p w14:paraId="0FE1C683" w14:textId="77777777" w:rsidR="00CE708F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>mireya.carrera@inegi.org.mx, con la persona Responsable de la Unidad de Transparencia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1236781A" w14:textId="77777777" w:rsidR="00CE708F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B147660" w14:textId="77777777" w:rsidR="00CE708F" w:rsidRPr="00CE708F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E708F">
              <w:rPr>
                <w:rFonts w:ascii="Arial" w:hAnsi="Arial" w:cs="Arial"/>
                <w:b/>
                <w:sz w:val="24"/>
                <w:szCs w:val="24"/>
                <w:lang w:val="es-MX"/>
              </w:rPr>
              <w:t>Horario de atención:</w:t>
            </w:r>
          </w:p>
          <w:p w14:paraId="100A05E9" w14:textId="21A7AEB8" w:rsidR="00CE708F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>e 8:30 a 16:30 horas de lunes a viernes.</w:t>
            </w:r>
          </w:p>
          <w:p w14:paraId="38E67E45" w14:textId="77777777" w:rsidR="00CE708F" w:rsidRPr="00CE708F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6FB6717" w14:textId="77777777" w:rsidR="00CE708F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 xml:space="preserve">Además, me permito informarle que también puede solicitar la información de las preguntas 1, 2, 4, 6, 7, 8, 9 y 10 de su solicitud a la </w:t>
            </w:r>
            <w:r w:rsidRPr="00CE708F">
              <w:rPr>
                <w:rFonts w:ascii="Arial" w:hAnsi="Arial" w:cs="Arial"/>
                <w:b/>
                <w:sz w:val="24"/>
                <w:szCs w:val="24"/>
                <w:lang w:val="es-MX"/>
              </w:rPr>
              <w:t>FISCALÍA GENERAL DE LA REPÚBLICA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.</w:t>
            </w:r>
          </w:p>
          <w:p w14:paraId="7A88D657" w14:textId="77777777" w:rsidR="00CE708F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617ED261" w14:textId="77777777" w:rsidR="00CE708F" w:rsidRPr="00CE708F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E708F">
              <w:rPr>
                <w:rFonts w:ascii="Arial" w:hAnsi="Arial" w:cs="Arial"/>
                <w:b/>
                <w:sz w:val="24"/>
                <w:szCs w:val="24"/>
                <w:lang w:val="es-MX"/>
              </w:rPr>
              <w:t>Ubicación:</w:t>
            </w:r>
          </w:p>
          <w:p w14:paraId="3C9590FB" w14:textId="77777777" w:rsidR="00CE708F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 xml:space="preserve"> Avenida Insurgentes #20, Piso Planta Baja, Piso 23, Colonia Roma Norte, Alcaldía Cuauhtémoc, Ciudad de México; C.P. 03100. </w:t>
            </w:r>
          </w:p>
          <w:p w14:paraId="236B670F" w14:textId="77777777" w:rsidR="00CE708F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E708F">
              <w:rPr>
                <w:rFonts w:ascii="Arial" w:hAnsi="Arial" w:cs="Arial"/>
                <w:b/>
                <w:sz w:val="24"/>
                <w:szCs w:val="24"/>
                <w:lang w:val="es-MX"/>
              </w:rPr>
              <w:t>Número telefónico:</w:t>
            </w:r>
          </w:p>
          <w:p w14:paraId="25DD04CB" w14:textId="77777777" w:rsidR="00CE708F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 xml:space="preserve"> 5553460000, extensiones 505402 y 505727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148E73DD" w14:textId="026B7C81" w:rsidR="00CE708F" w:rsidRDefault="00CE708F" w:rsidP="00CE7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C</w:t>
            </w:r>
            <w:r w:rsidRPr="00CE708F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orreo electrónico: </w:t>
            </w:r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 xml:space="preserve">leydetransparencia@fgr.org.mx, con la persona Responsable de la Unidad de Transparencia, con </w:t>
            </w:r>
            <w:r w:rsidRPr="00CE708F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Horario de atención:</w:t>
            </w:r>
          </w:p>
          <w:p w14:paraId="6B917569" w14:textId="5D1EB001" w:rsidR="00CE708F" w:rsidRPr="00CE708F" w:rsidRDefault="00CE708F" w:rsidP="00CE7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>e 09:00 a 15:00 horas y de 16:30 a 18:00 horas de lunes a viernes.</w:t>
            </w:r>
          </w:p>
          <w:p w14:paraId="46523F12" w14:textId="77777777" w:rsidR="00CE708F" w:rsidRPr="00CE708F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4A6E2E" w14:textId="77777777" w:rsidR="00CE708F" w:rsidRPr="00CE708F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 xml:space="preserve">Es importante hacer de su conocimiento que los Sujetos obligados a nivel Federal como es el caso de la </w:t>
            </w:r>
            <w:r w:rsidRPr="00CE708F">
              <w:rPr>
                <w:rFonts w:ascii="Arial" w:hAnsi="Arial" w:cs="Arial"/>
                <w:b/>
                <w:sz w:val="24"/>
                <w:szCs w:val="24"/>
                <w:lang w:val="es-MX"/>
              </w:rPr>
              <w:t>INSTITUTO NACIONAL DE ESTADÍSTICA Y GEOGRAFÍA y la FISCALÍA GENERAL DE LA REPÚBLICA</w:t>
            </w:r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 xml:space="preserve">, turnarán la solicitud de acceso a la información a la Delegación Estatal que corresponda, para que le den respuesta en los plazos establecidos por la Ley General de Transparencia y Acceso a la Información Pública.  Se adjunta archivo. </w:t>
            </w:r>
          </w:p>
          <w:p w14:paraId="2E71AFFB" w14:textId="77777777" w:rsidR="00CE708F" w:rsidRPr="00CE708F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5A78FEC8" w14:textId="77777777" w:rsidR="00CE708F" w:rsidRPr="00CE708F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D32D3F" w14:textId="77777777" w:rsidR="00CE708F" w:rsidRPr="00CE708F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6FCCB92F" w14:textId="367BCDFC" w:rsidR="00AA78CA" w:rsidRPr="0017734C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  <w:r w:rsidRPr="00CE708F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1BE92A06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5AFDFC06" w14:textId="66FFE5AF" w:rsidR="00AA78CA" w:rsidRPr="00D82BC3" w:rsidRDefault="002F0968" w:rsidP="0013532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01/04</w:t>
            </w:r>
            <w:r w:rsidR="009F797C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5CBA55D5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37BBC8B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</w:tcPr>
          <w:p w14:paraId="6CFD1D79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60AA43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8709732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651E41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C4642DB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7FC1F3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405187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C84A87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3FEA52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0D26C1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94813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2E29A4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0072C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406CBF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98D29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4110C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9ECE8D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66E538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7461B1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4C706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E4179C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6A7AC3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CE708F" w:rsidRPr="00755A3B" w14:paraId="2C640648" w14:textId="77777777" w:rsidTr="00D82BC3">
        <w:tc>
          <w:tcPr>
            <w:tcW w:w="690" w:type="dxa"/>
            <w:tcBorders>
              <w:bottom w:val="single" w:sz="4" w:space="0" w:color="auto"/>
            </w:tcBorders>
          </w:tcPr>
          <w:p w14:paraId="6B4D591F" w14:textId="2A5F759D" w:rsidR="00CE708F" w:rsidRPr="00755A3B" w:rsidRDefault="00CE708F" w:rsidP="00CE7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lastRenderedPageBreak/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BFC85BA" w14:textId="2F9420ED" w:rsidR="00CE708F" w:rsidRPr="00726266" w:rsidRDefault="00CE708F" w:rsidP="00CE70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Folio:   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202728522000059</w:t>
            </w:r>
          </w:p>
          <w:p w14:paraId="51A3223C" w14:textId="77777777" w:rsidR="00CE708F" w:rsidRDefault="00CE708F" w:rsidP="00CE70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7A6546C3" w14:textId="5692D89A" w:rsidR="00CE708F" w:rsidRDefault="00CE708F" w:rsidP="00CE70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5A8C80AF" w14:textId="18DE8FE2" w:rsidR="00CE708F" w:rsidRDefault="00CE708F" w:rsidP="00CE70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D429C1B" w14:textId="3173B21B" w:rsidR="00CE708F" w:rsidRDefault="00CE708F" w:rsidP="00CE70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Quisiera saber el sueldo del Presidente Municipal de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Putla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Villa de Guerrero, Oaxaca. Aclarado que a través de ésta página al seleccionar “Institución” no me despliega la opción del H. Ayuntamiento de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Putla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Villa de Guerrero, Oaxaca, a razón por la cual no pude dirigir mi petición directo a dicha sujeto obligado. Quedo atenta, gracias.</w:t>
            </w:r>
          </w:p>
          <w:p w14:paraId="3E84903F" w14:textId="0CD222E1" w:rsidR="00CE708F" w:rsidRDefault="00CE708F" w:rsidP="00CE70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79D98EF2" w14:textId="77777777" w:rsidR="00CE708F" w:rsidRPr="00726266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lastRenderedPageBreak/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1160E809" w14:textId="77777777" w:rsidR="00CE708F" w:rsidRPr="00722C90" w:rsidRDefault="00CE708F" w:rsidP="00CE70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113B2A86" w14:textId="77777777" w:rsidR="00135324" w:rsidRPr="00135324" w:rsidRDefault="00135324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135324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Estimado(a) solicitante:</w:t>
            </w:r>
          </w:p>
          <w:p w14:paraId="25DB1373" w14:textId="77777777" w:rsidR="00135324" w:rsidRPr="00135324" w:rsidRDefault="00135324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35324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135324">
              <w:rPr>
                <w:rFonts w:ascii="Arial" w:hAnsi="Arial" w:cs="Arial"/>
                <w:b/>
                <w:sz w:val="24"/>
                <w:szCs w:val="24"/>
                <w:lang w:val="es-MX"/>
              </w:rPr>
              <w:t>ORIENTA</w:t>
            </w:r>
            <w:r w:rsidRPr="00135324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</w:t>
            </w:r>
            <w:r w:rsidRPr="00135324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la Información Pública y Buen Gobierno del Estado de Oaxaca. </w:t>
            </w:r>
          </w:p>
          <w:p w14:paraId="6085E22A" w14:textId="5392AAE1" w:rsidR="00135324" w:rsidRDefault="00135324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35324">
              <w:rPr>
                <w:rFonts w:ascii="Arial" w:hAnsi="Arial" w:cs="Arial"/>
                <w:sz w:val="24"/>
                <w:szCs w:val="24"/>
                <w:lang w:val="es-MX"/>
              </w:rPr>
              <w:t xml:space="preserve">Por lo anterior, el Sujeto Obligado que puede ser competente para dar respuesta a su solicitud de acceso a la información pública, es el siguiente: </w:t>
            </w:r>
          </w:p>
          <w:p w14:paraId="3CB26C87" w14:textId="77777777" w:rsidR="00135324" w:rsidRPr="00135324" w:rsidRDefault="00135324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B13CAD" w14:textId="77777777" w:rsidR="00E472FB" w:rsidRDefault="00135324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35324">
              <w:rPr>
                <w:rFonts w:ascii="Arial" w:hAnsi="Arial" w:cs="Arial"/>
                <w:b/>
                <w:sz w:val="24"/>
                <w:szCs w:val="24"/>
                <w:lang w:val="es-MX"/>
              </w:rPr>
              <w:t>H. AYUNTAMIENTO DE PUTLA VILLA DE GUERRERO, OAXACA</w:t>
            </w:r>
            <w:r w:rsidR="00E472FB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7CC6529D" w14:textId="77777777" w:rsidR="00E472FB" w:rsidRPr="00E472FB" w:rsidRDefault="00E472FB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E472FB">
              <w:rPr>
                <w:rFonts w:ascii="Arial" w:hAnsi="Arial" w:cs="Arial"/>
                <w:b/>
                <w:sz w:val="24"/>
                <w:szCs w:val="24"/>
                <w:lang w:val="es-MX"/>
              </w:rPr>
              <w:t>Ubicación:</w:t>
            </w:r>
          </w:p>
          <w:p w14:paraId="30900357" w14:textId="77777777" w:rsidR="00E472FB" w:rsidRDefault="00135324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35324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E472FB"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Pr="00135324">
              <w:rPr>
                <w:rFonts w:ascii="Arial" w:hAnsi="Arial" w:cs="Arial"/>
                <w:sz w:val="24"/>
                <w:szCs w:val="24"/>
                <w:lang w:val="es-MX"/>
              </w:rPr>
              <w:t xml:space="preserve">omicilio conocido Presidencia Municipal </w:t>
            </w:r>
            <w:proofErr w:type="spellStart"/>
            <w:r w:rsidRPr="00135324">
              <w:rPr>
                <w:rFonts w:ascii="Arial" w:hAnsi="Arial" w:cs="Arial"/>
                <w:sz w:val="24"/>
                <w:szCs w:val="24"/>
                <w:lang w:val="es-MX"/>
              </w:rPr>
              <w:t>Putla</w:t>
            </w:r>
            <w:proofErr w:type="spellEnd"/>
            <w:r w:rsidRPr="00135324">
              <w:rPr>
                <w:rFonts w:ascii="Arial" w:hAnsi="Arial" w:cs="Arial"/>
                <w:sz w:val="24"/>
                <w:szCs w:val="24"/>
                <w:lang w:val="es-MX"/>
              </w:rPr>
              <w:t xml:space="preserve"> Villa de Guerrero, </w:t>
            </w:r>
            <w:proofErr w:type="spellStart"/>
            <w:r w:rsidRPr="00135324">
              <w:rPr>
                <w:rFonts w:ascii="Arial" w:hAnsi="Arial" w:cs="Arial"/>
                <w:sz w:val="24"/>
                <w:szCs w:val="24"/>
                <w:lang w:val="es-MX"/>
              </w:rPr>
              <w:t>Putla</w:t>
            </w:r>
            <w:proofErr w:type="spellEnd"/>
            <w:r w:rsidRPr="00135324">
              <w:rPr>
                <w:rFonts w:ascii="Arial" w:hAnsi="Arial" w:cs="Arial"/>
                <w:sz w:val="24"/>
                <w:szCs w:val="24"/>
                <w:lang w:val="es-MX"/>
              </w:rPr>
              <w:t xml:space="preserve"> Villa de Guerrero, Oaxaca; C.P. 71000. </w:t>
            </w:r>
          </w:p>
          <w:p w14:paraId="187594C0" w14:textId="77777777" w:rsidR="00E472FB" w:rsidRPr="00E472FB" w:rsidRDefault="00135324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E472FB">
              <w:rPr>
                <w:rFonts w:ascii="Arial" w:hAnsi="Arial" w:cs="Arial"/>
                <w:b/>
                <w:sz w:val="24"/>
                <w:szCs w:val="24"/>
                <w:lang w:val="es-MX"/>
              </w:rPr>
              <w:t>Número telefónico:</w:t>
            </w:r>
          </w:p>
          <w:p w14:paraId="24BD926E" w14:textId="77777777" w:rsidR="00E472FB" w:rsidRDefault="00E472FB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953 5531775</w:t>
            </w:r>
          </w:p>
          <w:p w14:paraId="4BF64161" w14:textId="77777777" w:rsidR="00E472FB" w:rsidRDefault="00E472FB" w:rsidP="00E47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472FB">
              <w:rPr>
                <w:rFonts w:ascii="Arial" w:hAnsi="Arial" w:cs="Arial"/>
                <w:b/>
                <w:sz w:val="24"/>
                <w:szCs w:val="24"/>
                <w:lang w:val="es-MX"/>
              </w:rPr>
              <w:t>C</w:t>
            </w:r>
            <w:r w:rsidR="00135324" w:rsidRPr="00E472FB">
              <w:rPr>
                <w:rFonts w:ascii="Arial" w:hAnsi="Arial" w:cs="Arial"/>
                <w:b/>
                <w:sz w:val="24"/>
                <w:szCs w:val="24"/>
                <w:lang w:val="es-MX"/>
              </w:rPr>
              <w:t>orreo electrónico:</w:t>
            </w:r>
            <w:r w:rsidR="00135324" w:rsidRPr="00135324">
              <w:rPr>
                <w:rFonts w:ascii="Arial" w:hAnsi="Arial" w:cs="Arial"/>
                <w:sz w:val="24"/>
                <w:szCs w:val="24"/>
                <w:lang w:val="es-MX"/>
              </w:rPr>
              <w:t xml:space="preserve"> presidencia.municipiodeputla@gmail.com, con la persona Responsable de la Unidad de Transparencia.</w:t>
            </w:r>
          </w:p>
          <w:p w14:paraId="0B4258BA" w14:textId="50905413" w:rsidR="00135324" w:rsidRPr="00135324" w:rsidRDefault="00135324" w:rsidP="00E47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35324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0B528787" w14:textId="77777777" w:rsidR="00135324" w:rsidRPr="00135324" w:rsidRDefault="00135324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35324">
              <w:rPr>
                <w:rFonts w:ascii="Arial" w:hAnsi="Arial" w:cs="Arial"/>
                <w:sz w:val="24"/>
                <w:szCs w:val="24"/>
                <w:lang w:val="es-MX"/>
              </w:rPr>
              <w:t xml:space="preserve">Con respecto a por qué no encontró al H. Ayuntamiento de </w:t>
            </w:r>
            <w:proofErr w:type="spellStart"/>
            <w:r w:rsidRPr="00135324">
              <w:rPr>
                <w:rFonts w:ascii="Arial" w:hAnsi="Arial" w:cs="Arial"/>
                <w:sz w:val="24"/>
                <w:szCs w:val="24"/>
                <w:lang w:val="es-MX"/>
              </w:rPr>
              <w:t>Putla</w:t>
            </w:r>
            <w:proofErr w:type="spellEnd"/>
            <w:r w:rsidRPr="00135324">
              <w:rPr>
                <w:rFonts w:ascii="Arial" w:hAnsi="Arial" w:cs="Arial"/>
                <w:sz w:val="24"/>
                <w:szCs w:val="24"/>
                <w:lang w:val="es-MX"/>
              </w:rPr>
              <w:t xml:space="preserve"> Villa de Guerrero, Oaxaca en la Plataforma Nacional de Transparencia para realizar su solicitud, con fundamento en </w:t>
            </w:r>
            <w:proofErr w:type="gramStart"/>
            <w:r w:rsidRPr="00135324">
              <w:rPr>
                <w:rFonts w:ascii="Arial" w:hAnsi="Arial" w:cs="Arial"/>
                <w:sz w:val="24"/>
                <w:szCs w:val="24"/>
                <w:lang w:val="es-MX"/>
              </w:rPr>
              <w:t>el  artículo</w:t>
            </w:r>
            <w:proofErr w:type="gramEnd"/>
            <w:r w:rsidRPr="00135324">
              <w:rPr>
                <w:rFonts w:ascii="Arial" w:hAnsi="Arial" w:cs="Arial"/>
                <w:sz w:val="24"/>
                <w:szCs w:val="24"/>
                <w:lang w:val="es-MX"/>
              </w:rPr>
              <w:t xml:space="preserve"> Décimo Transitorio de la Ley General de Transparencia y Acceso a la Información Pública, que obliga en una primera instancia a incorporarse a los municipios con una población mayor a los 70,000 habitantes, misma que a continuación transcribo:</w:t>
            </w:r>
          </w:p>
          <w:p w14:paraId="7826031B" w14:textId="77777777" w:rsidR="00135324" w:rsidRPr="00135324" w:rsidRDefault="00135324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35324">
              <w:rPr>
                <w:rFonts w:ascii="Arial" w:hAnsi="Arial" w:cs="Arial"/>
                <w:sz w:val="24"/>
                <w:szCs w:val="24"/>
                <w:lang w:val="es-MX"/>
              </w:rPr>
              <w:t xml:space="preserve">“Décimo Transitorio. Sin perjuicio de que la información que generen y posean es considerada pública, de conformidad con lo señalado en la presente Ley General y que le son aplicables los procedimientos, principios y bases de la misma; en tanto el Sistema Nacional emite los lineamientos, </w:t>
            </w:r>
            <w:r w:rsidRPr="00135324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mecanismos y criterios correspondientes para determinar las acciones a tomar, los municipios con población menor a 70,000 habitantes cumplirán con las obligaciones de transparencia de conformidad con sus posibilidades presupuestarias.</w:t>
            </w:r>
          </w:p>
          <w:p w14:paraId="6552246F" w14:textId="77777777" w:rsidR="00135324" w:rsidRPr="00135324" w:rsidRDefault="00135324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35324">
              <w:rPr>
                <w:rFonts w:ascii="Arial" w:hAnsi="Arial" w:cs="Arial"/>
                <w:sz w:val="24"/>
                <w:szCs w:val="24"/>
                <w:lang w:val="es-MX"/>
              </w:rPr>
              <w:t>Lo anterior, sin perjuicio de que dichos municipios continuarán cumpliendo con las obligaciones de información a que se refiere la Ley General de Contabilidad Gubernamental y las disposiciones que emanan de ésta, en los plazos, términos y condiciones previstas en dicha ley y en las disposiciones referidas.”</w:t>
            </w:r>
          </w:p>
          <w:p w14:paraId="1B4C9975" w14:textId="77777777" w:rsidR="00135324" w:rsidRPr="00135324" w:rsidRDefault="00135324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A7DCE4" w14:textId="77777777" w:rsidR="00135324" w:rsidRPr="00135324" w:rsidRDefault="00135324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35324">
              <w:rPr>
                <w:rFonts w:ascii="Arial" w:hAnsi="Arial" w:cs="Arial"/>
                <w:sz w:val="24"/>
                <w:szCs w:val="24"/>
                <w:lang w:val="es-MX"/>
              </w:rPr>
              <w:t xml:space="preserve">En este sentido, no significa que no se le pueda requerir información mediante una solicitud de acceso a la información al citado municipio por los medios alternativos, como lo son: de manera física a las oficinas del H. Ayuntamiento, por correo electrónico, o a manera de consulta, vía telefónica. Se adjunta archivo. </w:t>
            </w:r>
          </w:p>
          <w:p w14:paraId="16D20A4C" w14:textId="77777777" w:rsidR="00135324" w:rsidRPr="00135324" w:rsidRDefault="00135324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35324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12E1B591" w14:textId="77777777" w:rsidR="00135324" w:rsidRPr="00135324" w:rsidRDefault="00135324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FF38BD" w14:textId="77777777" w:rsidR="00135324" w:rsidRPr="00135324" w:rsidRDefault="00135324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35324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4DB258CA" w14:textId="1530AC4A" w:rsidR="00CE708F" w:rsidRPr="00722C90" w:rsidRDefault="00135324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  <w:lang w:val="es-MX"/>
              </w:rPr>
            </w:pPr>
            <w:r w:rsidRPr="00135324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1870E1FF" w14:textId="77777777" w:rsidR="00CE708F" w:rsidRPr="00D82BC3" w:rsidRDefault="00CE708F" w:rsidP="00CE708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3D9AA0D2" w14:textId="77777777" w:rsidR="00CE708F" w:rsidRPr="00D82BC3" w:rsidRDefault="00CE708F" w:rsidP="00CE708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01/04/2022</w:t>
            </w:r>
          </w:p>
          <w:p w14:paraId="70186011" w14:textId="77777777" w:rsidR="00CE708F" w:rsidRPr="00755A3B" w:rsidRDefault="00CE708F" w:rsidP="00CE708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E052E13" w14:textId="77777777" w:rsidR="00CE708F" w:rsidRPr="00722C90" w:rsidRDefault="00CE708F" w:rsidP="00CE708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76" w:type="dxa"/>
          </w:tcPr>
          <w:p w14:paraId="722A6CD3" w14:textId="77777777" w:rsidR="00CE708F" w:rsidRPr="00D82BC3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609DD635" w14:textId="77777777" w:rsidR="00CE708F" w:rsidRPr="00D82BC3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22F9D53" w14:textId="77777777" w:rsidR="00CE708F" w:rsidRPr="00D82BC3" w:rsidRDefault="00CE708F" w:rsidP="00CE708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B34C7A" w14:textId="77777777" w:rsidR="00CE708F" w:rsidRPr="00D82BC3" w:rsidRDefault="00CE708F" w:rsidP="00CE708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4899732" w14:textId="77777777" w:rsidR="00CE708F" w:rsidRPr="00D82BC3" w:rsidRDefault="00CE708F" w:rsidP="00CE708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7A3FD1" w14:textId="77777777" w:rsidR="00CE708F" w:rsidRPr="00D82BC3" w:rsidRDefault="00CE708F" w:rsidP="00CE708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5EF08EC" w14:textId="77777777" w:rsidR="00CE708F" w:rsidRPr="00D82BC3" w:rsidRDefault="00CE708F" w:rsidP="00CE708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3610F7" w14:textId="77777777" w:rsidR="00CE708F" w:rsidRPr="00D82BC3" w:rsidRDefault="00CE708F" w:rsidP="00CE708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35954B" w14:textId="77777777" w:rsidR="00CE708F" w:rsidRPr="00D82BC3" w:rsidRDefault="00CE708F" w:rsidP="00CE708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1AD359C" w14:textId="77777777" w:rsidR="00CE708F" w:rsidRPr="00D82BC3" w:rsidRDefault="00CE708F" w:rsidP="00CE708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CEE99EE" w14:textId="77777777" w:rsidR="00CE708F" w:rsidRPr="00D82BC3" w:rsidRDefault="00CE708F" w:rsidP="00CE708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942DC1" w14:textId="77777777" w:rsidR="00CE708F" w:rsidRPr="00D82BC3" w:rsidRDefault="00CE708F" w:rsidP="00CE708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7AC2D56" w14:textId="77777777" w:rsidR="00CE708F" w:rsidRPr="00D82BC3" w:rsidRDefault="00CE708F" w:rsidP="00CE708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3542F8E" w14:textId="77777777" w:rsidR="00CE708F" w:rsidRPr="00D82BC3" w:rsidRDefault="00CE708F" w:rsidP="00CE708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FB14954" w14:textId="77777777" w:rsidR="00CE708F" w:rsidRPr="00D82BC3" w:rsidRDefault="00CE708F" w:rsidP="00CE708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570730" w14:textId="77777777" w:rsidR="00CE708F" w:rsidRPr="00D82BC3" w:rsidRDefault="00CE708F" w:rsidP="00CE708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8BB96F4" w14:textId="77777777" w:rsidR="00CE708F" w:rsidRPr="00D82BC3" w:rsidRDefault="00CE708F" w:rsidP="00CE708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F9AD24E" w14:textId="77777777" w:rsidR="00CE708F" w:rsidRPr="00D82BC3" w:rsidRDefault="00CE708F" w:rsidP="00CE708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82AEA3" w14:textId="77777777" w:rsidR="00CE708F" w:rsidRPr="00D82BC3" w:rsidRDefault="00CE708F" w:rsidP="00CE708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7274D0" w14:textId="77777777" w:rsidR="00CE708F" w:rsidRPr="00D82BC3" w:rsidRDefault="00CE708F" w:rsidP="00CE708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F821FC" w14:textId="77777777" w:rsidR="00CE708F" w:rsidRPr="00D82BC3" w:rsidRDefault="00CE708F" w:rsidP="00CE708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C56FEF" w14:textId="77777777" w:rsidR="00CE708F" w:rsidRPr="00722C90" w:rsidRDefault="00CE708F" w:rsidP="00CE7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AA78CA" w:rsidRPr="00755A3B" w14:paraId="3575B89B" w14:textId="77777777" w:rsidTr="00D82BC3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0FCC4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DA6C6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13BCEA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84345AE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27D51AE6" w14:textId="7D155D71" w:rsidR="00AA78CA" w:rsidRPr="00755A3B" w:rsidRDefault="00FA4839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0</w:t>
            </w:r>
            <w:r w:rsidR="00CE708F">
              <w:rPr>
                <w:rFonts w:ascii="Arial" w:hAnsi="Arial" w:cs="Arial"/>
                <w:b/>
                <w:sz w:val="24"/>
                <w:lang w:val="es-MX"/>
              </w:rPr>
              <w:t>2</w:t>
            </w:r>
          </w:p>
        </w:tc>
      </w:tr>
    </w:tbl>
    <w:p w14:paraId="14894C1D" w14:textId="77777777" w:rsidR="00B90F84" w:rsidRDefault="00B90F84" w:rsidP="00D82BC3">
      <w:pPr>
        <w:spacing w:line="276" w:lineRule="auto"/>
        <w:jc w:val="both"/>
        <w:rPr>
          <w:rFonts w:ascii="Arial" w:eastAsia="Times New Roman" w:hAnsi="Arial" w:cs="Arial"/>
        </w:rPr>
      </w:pPr>
    </w:p>
    <w:p w14:paraId="1DEB976F" w14:textId="3E2109FF" w:rsidR="00B44DB8" w:rsidRPr="00D82BC3" w:rsidRDefault="00AA78CA" w:rsidP="00D82BC3">
      <w:pPr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 w:rsidR="00D82BC3">
        <w:rPr>
          <w:rFonts w:ascii="Arial" w:hAnsi="Arial" w:cs="Arial"/>
        </w:rPr>
        <w:t xml:space="preserve">- - - - - - - </w:t>
      </w:r>
    </w:p>
    <w:p w14:paraId="5F1E01B8" w14:textId="3341F5A4" w:rsidR="00861F1D" w:rsidRPr="00D82BC3" w:rsidRDefault="00861F1D" w:rsidP="005855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BD6069" w14:textId="68F8C67C" w:rsidR="00AA78CA" w:rsidRDefault="00AA78CA" w:rsidP="00AA78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13284A27" w14:textId="43B75A0A" w:rsidR="00AA78CA" w:rsidRPr="00D82BC3" w:rsidRDefault="00AA78CA" w:rsidP="00AA78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3D041B2" w14:textId="1C34B724" w:rsidR="00AA78CA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form-control"/>
          <w:rFonts w:ascii="Arial" w:hAnsi="Arial" w:cs="Arial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 xml:space="preserve">orientación presentada por la Unidad de Transparencia respecto de </w:t>
      </w:r>
      <w:bookmarkStart w:id="0" w:name="_GoBack"/>
      <w:bookmarkEnd w:id="0"/>
      <w:r w:rsidRPr="00D82BC3">
        <w:rPr>
          <w:rFonts w:ascii="Arial" w:hAnsi="Arial" w:cs="Arial"/>
        </w:rPr>
        <w:t>la</w:t>
      </w:r>
      <w:r w:rsidR="00E472FB">
        <w:rPr>
          <w:rFonts w:ascii="Arial" w:hAnsi="Arial" w:cs="Arial"/>
        </w:rPr>
        <w:t>s</w:t>
      </w:r>
      <w:r w:rsidR="00E40C6C">
        <w:rPr>
          <w:rFonts w:ascii="Arial" w:hAnsi="Arial" w:cs="Arial"/>
        </w:rPr>
        <w:t xml:space="preserve"> solicitud</w:t>
      </w:r>
      <w:r w:rsidR="00E472FB">
        <w:rPr>
          <w:rFonts w:ascii="Arial" w:hAnsi="Arial" w:cs="Arial"/>
        </w:rPr>
        <w:t>es</w:t>
      </w:r>
      <w:r w:rsidR="00A7539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 w:rsidR="00B90F84"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 w:rsidR="00E472FB">
        <w:rPr>
          <w:rFonts w:ascii="Arial" w:hAnsi="Arial" w:cs="Arial"/>
        </w:rPr>
        <w:t>s</w:t>
      </w:r>
      <w:r w:rsidR="00E40C6C">
        <w:rPr>
          <w:rFonts w:ascii="Arial" w:hAnsi="Arial" w:cs="Arial"/>
        </w:rPr>
        <w:t xml:space="preserve"> con </w:t>
      </w:r>
      <w:r w:rsidR="00E472FB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E472FB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="00E472FB">
        <w:rPr>
          <w:rStyle w:val="form-control"/>
          <w:rFonts w:ascii="Arial" w:hAnsi="Arial" w:cs="Arial"/>
          <w:b/>
        </w:rPr>
        <w:t>2</w:t>
      </w:r>
      <w:r w:rsidR="00906C94">
        <w:rPr>
          <w:rStyle w:val="form-control"/>
          <w:rFonts w:ascii="Arial" w:hAnsi="Arial" w:cs="Arial"/>
          <w:b/>
        </w:rPr>
        <w:t>02728522000057 y 202728522000059</w:t>
      </w:r>
      <w:r w:rsidR="00B90F84">
        <w:rPr>
          <w:rStyle w:val="form-control"/>
          <w:rFonts w:ascii="Arial" w:hAnsi="Arial" w:cs="Arial"/>
          <w:b/>
        </w:rPr>
        <w:t xml:space="preserve">. </w:t>
      </w:r>
      <w:r w:rsidR="00B90F84">
        <w:rPr>
          <w:rStyle w:val="form-control"/>
          <w:rFonts w:ascii="Arial" w:hAnsi="Arial" w:cs="Arial"/>
        </w:rPr>
        <w:t xml:space="preserve">- - - - - - - - - - - - - - - - - - - - - - - - - - - - - - - </w:t>
      </w:r>
    </w:p>
    <w:p w14:paraId="672D46FC" w14:textId="77777777" w:rsidR="00E472FB" w:rsidRPr="00316302" w:rsidRDefault="00E472FB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4915EC91" w14:textId="77777777" w:rsidR="00B90F84" w:rsidRPr="00D82BC3" w:rsidRDefault="00B90F84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77522E7" w14:textId="7D9515C8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lastRenderedPageBreak/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 w:rsidR="00D82BC3">
        <w:rPr>
          <w:rFonts w:ascii="Arial" w:hAnsi="Arial" w:cs="Arial"/>
        </w:rPr>
        <w:t xml:space="preserve">resguardo. - - - - - </w:t>
      </w:r>
    </w:p>
    <w:p w14:paraId="3B8B38B9" w14:textId="5D77479E" w:rsidR="00B90F84" w:rsidRPr="00D82BC3" w:rsidRDefault="00B90F84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C0F5B0A" w14:textId="6995742D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D82BC3">
        <w:rPr>
          <w:rFonts w:ascii="Arial" w:hAnsi="Arial" w:cs="Arial"/>
        </w:rPr>
        <w:t xml:space="preserve">- - - - - - - - - - - - - - - - - - - - - - - - - - - - - - - - - - - - - </w:t>
      </w:r>
    </w:p>
    <w:p w14:paraId="1A584AD7" w14:textId="7E325EA9" w:rsidR="00B90F84" w:rsidRPr="00D82BC3" w:rsidRDefault="00B90F84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BD87710" w14:textId="15EDE803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 w:rsidR="00055724" w:rsidRPr="00D82BC3">
        <w:rPr>
          <w:rFonts w:ascii="Arial" w:hAnsi="Arial" w:cs="Arial"/>
        </w:rPr>
        <w:t>mayoría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B90F84">
        <w:rPr>
          <w:rFonts w:ascii="Arial" w:hAnsi="Arial" w:cs="Arial"/>
        </w:rPr>
        <w:t>Décima</w:t>
      </w:r>
      <w:r w:rsidR="00E472FB">
        <w:rPr>
          <w:rFonts w:ascii="Arial" w:hAnsi="Arial" w:cs="Arial"/>
        </w:rPr>
        <w:t xml:space="preserve"> Segunda </w:t>
      </w:r>
      <w:r w:rsidRPr="00D82BC3">
        <w:rPr>
          <w:rFonts w:ascii="Arial" w:hAnsi="Arial" w:cs="Arial"/>
        </w:rPr>
        <w:t xml:space="preserve">Sesión Extraordinaria del Comité de Transparencia, </w:t>
      </w:r>
      <w:r w:rsidR="00FA4839">
        <w:rPr>
          <w:rFonts w:ascii="Arial" w:hAnsi="Arial" w:cs="Arial"/>
        </w:rPr>
        <w:t xml:space="preserve">celebrada </w:t>
      </w:r>
      <w:r w:rsidRPr="00D82BC3">
        <w:rPr>
          <w:rFonts w:ascii="Arial" w:hAnsi="Arial" w:cs="Arial"/>
        </w:rPr>
        <w:t xml:space="preserve">el </w:t>
      </w:r>
      <w:r w:rsidR="00FA4839">
        <w:rPr>
          <w:rFonts w:ascii="Arial" w:hAnsi="Arial" w:cs="Arial"/>
        </w:rPr>
        <w:t>uno</w:t>
      </w:r>
      <w:r w:rsidRPr="00D82BC3">
        <w:rPr>
          <w:rFonts w:ascii="Arial" w:hAnsi="Arial" w:cs="Arial"/>
        </w:rPr>
        <w:t xml:space="preserve"> de </w:t>
      </w:r>
      <w:r w:rsidR="00E472FB">
        <w:rPr>
          <w:rFonts w:ascii="Arial" w:hAnsi="Arial" w:cs="Arial"/>
        </w:rPr>
        <w:t>abril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 w:rsidR="00FA4839">
        <w:rPr>
          <w:rFonts w:ascii="Arial" w:hAnsi="Arial" w:cs="Arial"/>
        </w:rPr>
        <w:t xml:space="preserve">- </w:t>
      </w:r>
    </w:p>
    <w:p w14:paraId="7DC57484" w14:textId="7C04A685" w:rsid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CAC1A3" w14:textId="1C67F118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6B5293" w14:textId="73E4FBDE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9F5DD3" w14:textId="0FF82520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B507A1" w14:textId="77777777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3437D0" w14:textId="77777777" w:rsidR="00BF58F9" w:rsidRPr="00D82BC3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C56ED8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69D3B9A3" w14:textId="588AC8FC" w:rsidR="003B5AC2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  Presidente</w:t>
      </w:r>
    </w:p>
    <w:p w14:paraId="76E04ECE" w14:textId="73CC2D62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F60188" w14:textId="77777777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C2C2B6" w14:textId="7777777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101035" w14:textId="794AC36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3733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85A3FD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45C1AB" w14:textId="637A9626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3B5AC2"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="003B5AC2" w:rsidRPr="00D82BC3">
        <w:rPr>
          <w:rFonts w:ascii="Arial" w:hAnsi="Arial" w:cs="Arial"/>
          <w:b/>
          <w:bCs/>
        </w:rPr>
        <w:t xml:space="preserve">  C. Mildred Fabiola Estrada Rubio.</w:t>
      </w:r>
    </w:p>
    <w:p w14:paraId="492373E5" w14:textId="0648D1D5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B5AC2"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9752B0" w:rsidRPr="00D82BC3">
        <w:rPr>
          <w:rFonts w:ascii="Arial" w:hAnsi="Arial" w:cs="Arial"/>
        </w:rPr>
        <w:t xml:space="preserve">     Vocal Primera</w:t>
      </w:r>
      <w:r w:rsidR="003B5AC2" w:rsidRPr="00D82BC3">
        <w:rPr>
          <w:rFonts w:ascii="Arial" w:hAnsi="Arial" w:cs="Arial"/>
        </w:rPr>
        <w:t>.</w:t>
      </w:r>
    </w:p>
    <w:p w14:paraId="7021E990" w14:textId="14CE73D8" w:rsidR="003B5AC2" w:rsidRDefault="003B5AC2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3ED9EB" w14:textId="167D852B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6A6F20" w14:textId="77777777" w:rsidR="00BF58F9" w:rsidRDefault="00BF58F9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A64A2A" w14:textId="77777777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78ED76" w14:textId="4E3A9AF6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57BA11" w14:textId="7589EAD3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0299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123376" w14:textId="484CF9D4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B5BB45" w14:textId="77423093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 w:rsidR="00D82BC3"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 w:rsidR="00D82BC3"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53DE0E26" w14:textId="5D2ACDF7" w:rsidR="003B5AC2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 w:rsidR="003B5AC2" w:rsidRPr="00D82BC3">
        <w:rPr>
          <w:rFonts w:ascii="Arial" w:hAnsi="Arial" w:cs="Arial"/>
        </w:rPr>
        <w:t xml:space="preserve">Vocal Segundo.                                     </w:t>
      </w:r>
      <w:r>
        <w:rPr>
          <w:rFonts w:ascii="Arial" w:hAnsi="Arial" w:cs="Arial"/>
        </w:rPr>
        <w:t xml:space="preserve">                  </w:t>
      </w:r>
      <w:r w:rsidR="003B5AC2" w:rsidRPr="00D82BC3">
        <w:rPr>
          <w:rFonts w:ascii="Arial" w:hAnsi="Arial" w:cs="Arial"/>
        </w:rPr>
        <w:t xml:space="preserve"> Comisario</w:t>
      </w:r>
    </w:p>
    <w:sectPr w:rsidR="003B5AC2" w:rsidSect="00C422FB">
      <w:headerReference w:type="default" r:id="rId7"/>
      <w:foot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9E9FA" w14:textId="77777777" w:rsidR="009F0E87" w:rsidRDefault="009F0E87" w:rsidP="00505074">
      <w:r>
        <w:separator/>
      </w:r>
    </w:p>
  </w:endnote>
  <w:endnote w:type="continuationSeparator" w:id="0">
    <w:p w14:paraId="380434AA" w14:textId="77777777" w:rsidR="009F0E87" w:rsidRDefault="009F0E87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741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2BF89C" w14:textId="7B790BEB" w:rsidR="00135324" w:rsidRDefault="0013532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06C94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06C94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6436D7" w14:textId="77777777" w:rsidR="00135324" w:rsidRDefault="001353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ADD9B" w14:textId="77777777" w:rsidR="009F0E87" w:rsidRDefault="009F0E87" w:rsidP="00505074">
      <w:r>
        <w:separator/>
      </w:r>
    </w:p>
  </w:footnote>
  <w:footnote w:type="continuationSeparator" w:id="0">
    <w:p w14:paraId="1624B64F" w14:textId="77777777" w:rsidR="009F0E87" w:rsidRDefault="009F0E87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0230D2AE" w:rsidR="00135324" w:rsidRDefault="0013532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260F0081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236C"/>
    <w:rsid w:val="000419FF"/>
    <w:rsid w:val="000423E1"/>
    <w:rsid w:val="00055724"/>
    <w:rsid w:val="00075AB7"/>
    <w:rsid w:val="000C136A"/>
    <w:rsid w:val="000F1F8C"/>
    <w:rsid w:val="00101015"/>
    <w:rsid w:val="001266EB"/>
    <w:rsid w:val="00135324"/>
    <w:rsid w:val="00150315"/>
    <w:rsid w:val="0015524B"/>
    <w:rsid w:val="0017734C"/>
    <w:rsid w:val="00191709"/>
    <w:rsid w:val="001C3A24"/>
    <w:rsid w:val="001C5977"/>
    <w:rsid w:val="001D30EE"/>
    <w:rsid w:val="002060F1"/>
    <w:rsid w:val="002408F3"/>
    <w:rsid w:val="00245D28"/>
    <w:rsid w:val="00264E0A"/>
    <w:rsid w:val="002960BC"/>
    <w:rsid w:val="002C54D1"/>
    <w:rsid w:val="002D152B"/>
    <w:rsid w:val="002F0968"/>
    <w:rsid w:val="00316302"/>
    <w:rsid w:val="00320B59"/>
    <w:rsid w:val="0037163E"/>
    <w:rsid w:val="003B5AC2"/>
    <w:rsid w:val="003B68AF"/>
    <w:rsid w:val="003E6C76"/>
    <w:rsid w:val="003F7C21"/>
    <w:rsid w:val="0041357F"/>
    <w:rsid w:val="00496B6A"/>
    <w:rsid w:val="004C30AF"/>
    <w:rsid w:val="00505074"/>
    <w:rsid w:val="00506B62"/>
    <w:rsid w:val="00510F80"/>
    <w:rsid w:val="00534ED0"/>
    <w:rsid w:val="0055206D"/>
    <w:rsid w:val="005855FC"/>
    <w:rsid w:val="005B5D2F"/>
    <w:rsid w:val="005C5473"/>
    <w:rsid w:val="005F6794"/>
    <w:rsid w:val="00606FBD"/>
    <w:rsid w:val="0061401C"/>
    <w:rsid w:val="006647D2"/>
    <w:rsid w:val="006D3617"/>
    <w:rsid w:val="006E10C3"/>
    <w:rsid w:val="00722C90"/>
    <w:rsid w:val="00726266"/>
    <w:rsid w:val="007A3E15"/>
    <w:rsid w:val="007C3777"/>
    <w:rsid w:val="007D7122"/>
    <w:rsid w:val="00801920"/>
    <w:rsid w:val="00823CFF"/>
    <w:rsid w:val="00840202"/>
    <w:rsid w:val="008416FB"/>
    <w:rsid w:val="0085347F"/>
    <w:rsid w:val="00861F1D"/>
    <w:rsid w:val="008C6642"/>
    <w:rsid w:val="008F6129"/>
    <w:rsid w:val="00906C94"/>
    <w:rsid w:val="009100C6"/>
    <w:rsid w:val="00920943"/>
    <w:rsid w:val="00964FD2"/>
    <w:rsid w:val="009752B0"/>
    <w:rsid w:val="009E20E2"/>
    <w:rsid w:val="009E2DEA"/>
    <w:rsid w:val="009F0E87"/>
    <w:rsid w:val="009F797C"/>
    <w:rsid w:val="00A16ECF"/>
    <w:rsid w:val="00A23553"/>
    <w:rsid w:val="00A2687F"/>
    <w:rsid w:val="00A31065"/>
    <w:rsid w:val="00A56332"/>
    <w:rsid w:val="00A60DF6"/>
    <w:rsid w:val="00A75394"/>
    <w:rsid w:val="00AA78CA"/>
    <w:rsid w:val="00AB77FB"/>
    <w:rsid w:val="00AC24BC"/>
    <w:rsid w:val="00AD5645"/>
    <w:rsid w:val="00B44DB8"/>
    <w:rsid w:val="00B90F84"/>
    <w:rsid w:val="00BE1E75"/>
    <w:rsid w:val="00BF58F9"/>
    <w:rsid w:val="00C05DD3"/>
    <w:rsid w:val="00C07082"/>
    <w:rsid w:val="00C25E29"/>
    <w:rsid w:val="00C335F7"/>
    <w:rsid w:val="00C422FB"/>
    <w:rsid w:val="00C506C0"/>
    <w:rsid w:val="00C6596A"/>
    <w:rsid w:val="00CA4257"/>
    <w:rsid w:val="00CB7833"/>
    <w:rsid w:val="00CC05E7"/>
    <w:rsid w:val="00CE708F"/>
    <w:rsid w:val="00CF76AC"/>
    <w:rsid w:val="00D0692B"/>
    <w:rsid w:val="00D14300"/>
    <w:rsid w:val="00D21426"/>
    <w:rsid w:val="00D24D44"/>
    <w:rsid w:val="00D7698C"/>
    <w:rsid w:val="00D80897"/>
    <w:rsid w:val="00D82BC3"/>
    <w:rsid w:val="00D96B13"/>
    <w:rsid w:val="00DB128C"/>
    <w:rsid w:val="00DC0B0F"/>
    <w:rsid w:val="00DC1402"/>
    <w:rsid w:val="00DC65C4"/>
    <w:rsid w:val="00E40C6C"/>
    <w:rsid w:val="00E472FB"/>
    <w:rsid w:val="00EE48C4"/>
    <w:rsid w:val="00F023FE"/>
    <w:rsid w:val="00F36284"/>
    <w:rsid w:val="00F42E8F"/>
    <w:rsid w:val="00F52D43"/>
    <w:rsid w:val="00F56F58"/>
    <w:rsid w:val="00F81531"/>
    <w:rsid w:val="00F854FE"/>
    <w:rsid w:val="00F8596A"/>
    <w:rsid w:val="00FA4839"/>
    <w:rsid w:val="00FA4C31"/>
    <w:rsid w:val="00FA65C5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AA78CA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78CA"/>
  </w:style>
  <w:style w:type="character" w:customStyle="1" w:styleId="form-control">
    <w:name w:val="form-control"/>
    <w:basedOn w:val="Fuentedeprrafopredeter"/>
    <w:rsid w:val="00AA78CA"/>
  </w:style>
  <w:style w:type="character" w:styleId="Hipervnculo">
    <w:name w:val="Hyperlink"/>
    <w:basedOn w:val="Fuentedeprrafopredeter"/>
    <w:uiPriority w:val="99"/>
    <w:unhideWhenUsed/>
    <w:rsid w:val="00B44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E1366B-538D-4D64-8BD4-C70AC8E3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1869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Rogelio Fuentes</cp:lastModifiedBy>
  <cp:revision>3</cp:revision>
  <cp:lastPrinted>2022-04-01T17:33:00Z</cp:lastPrinted>
  <dcterms:created xsi:type="dcterms:W3CDTF">2022-04-01T17:34:00Z</dcterms:created>
  <dcterms:modified xsi:type="dcterms:W3CDTF">2022-04-01T17:38:00Z</dcterms:modified>
</cp:coreProperties>
</file>