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645D055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6E5548">
        <w:rPr>
          <w:rFonts w:ascii="Arial" w:hAnsi="Arial" w:cs="Arial"/>
          <w:b/>
          <w:bCs/>
        </w:rPr>
        <w:t>3</w:t>
      </w:r>
      <w:r w:rsidR="00D123DE">
        <w:rPr>
          <w:rFonts w:ascii="Arial" w:hAnsi="Arial" w:cs="Arial"/>
          <w:b/>
          <w:bCs/>
        </w:rPr>
        <w:t>6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0B18281" w14:textId="7725589B" w:rsidR="00F84E16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DD48A3">
        <w:rPr>
          <w:rFonts w:ascii="Arial" w:eastAsia="Calibri" w:hAnsi="Arial" w:cs="Arial"/>
        </w:rPr>
        <w:t xml:space="preserve"> los</w:t>
      </w:r>
      <w:r w:rsidR="00537D01">
        <w:rPr>
          <w:rFonts w:ascii="Arial" w:eastAsia="Calibri" w:hAnsi="Arial" w:cs="Arial"/>
        </w:rPr>
        <w:t xml:space="preserve"> oficio</w:t>
      </w:r>
      <w:r w:rsidR="00DD48A3">
        <w:rPr>
          <w:rFonts w:ascii="Arial" w:eastAsia="Calibri" w:hAnsi="Arial" w:cs="Arial"/>
        </w:rPr>
        <w:t>s</w:t>
      </w:r>
      <w:r w:rsidR="00537D01">
        <w:rPr>
          <w:rFonts w:ascii="Arial" w:eastAsia="Calibri" w:hAnsi="Arial" w:cs="Arial"/>
        </w:rPr>
        <w:t xml:space="preserve"> con número</w:t>
      </w:r>
      <w:r w:rsidR="00DD48A3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7A183F">
        <w:rPr>
          <w:rFonts w:ascii="Arial" w:eastAsia="Calibri" w:hAnsi="Arial" w:cs="Arial"/>
          <w:b/>
          <w:bCs/>
        </w:rPr>
        <w:t>4</w:t>
      </w:r>
      <w:r w:rsidR="00537D01">
        <w:rPr>
          <w:rFonts w:ascii="Arial" w:eastAsia="Calibri" w:hAnsi="Arial" w:cs="Arial"/>
          <w:b/>
          <w:bCs/>
        </w:rPr>
        <w:t>3</w:t>
      </w:r>
      <w:r w:rsidR="00F75615">
        <w:rPr>
          <w:rFonts w:ascii="Arial" w:eastAsia="Calibri" w:hAnsi="Arial" w:cs="Arial"/>
          <w:b/>
          <w:bCs/>
        </w:rPr>
        <w:t>1</w:t>
      </w:r>
      <w:r w:rsidRPr="00D82BC3">
        <w:rPr>
          <w:rFonts w:ascii="Arial" w:eastAsia="Calibri" w:hAnsi="Arial" w:cs="Arial"/>
          <w:b/>
          <w:bCs/>
        </w:rPr>
        <w:t>/</w:t>
      </w:r>
      <w:r w:rsidR="00B825B0">
        <w:rPr>
          <w:rFonts w:ascii="Arial" w:eastAsia="Calibri" w:hAnsi="Arial" w:cs="Arial"/>
          <w:b/>
          <w:bCs/>
        </w:rPr>
        <w:t>2022</w:t>
      </w:r>
      <w:r w:rsidR="00F84E16">
        <w:rPr>
          <w:rFonts w:ascii="Arial" w:eastAsia="Calibri" w:hAnsi="Arial" w:cs="Arial"/>
          <w:b/>
          <w:bCs/>
        </w:rPr>
        <w:t xml:space="preserve"> </w:t>
      </w:r>
      <w:r w:rsidR="00F84E16" w:rsidRPr="00F84E16">
        <w:rPr>
          <w:rFonts w:ascii="Arial" w:eastAsia="Calibri" w:hAnsi="Arial" w:cs="Arial"/>
        </w:rPr>
        <w:t>recibido</w:t>
      </w:r>
      <w:r w:rsidR="00F84E16">
        <w:rPr>
          <w:rFonts w:ascii="Arial" w:eastAsia="Calibri" w:hAnsi="Arial" w:cs="Arial"/>
        </w:rPr>
        <w:t xml:space="preserve"> con fecha</w:t>
      </w:r>
      <w:r w:rsidR="00F84E16" w:rsidRPr="00F84E16">
        <w:rPr>
          <w:rFonts w:ascii="Arial" w:eastAsia="Calibri" w:hAnsi="Arial" w:cs="Arial"/>
        </w:rPr>
        <w:t xml:space="preserve"> </w:t>
      </w:r>
      <w:r w:rsidR="00F84E16">
        <w:rPr>
          <w:rFonts w:ascii="Arial" w:eastAsia="Calibri" w:hAnsi="Arial" w:cs="Arial"/>
        </w:rPr>
        <w:t>dieciséis</w:t>
      </w:r>
      <w:r w:rsidR="00F84E16">
        <w:rPr>
          <w:rFonts w:ascii="Arial" w:eastAsia="Calibri" w:hAnsi="Arial" w:cs="Arial"/>
          <w:b/>
          <w:bCs/>
        </w:rPr>
        <w:t xml:space="preserve"> </w:t>
      </w:r>
      <w:r w:rsidR="00F84E16" w:rsidRPr="00F84E16">
        <w:rPr>
          <w:rFonts w:ascii="Arial" w:eastAsia="Calibri" w:hAnsi="Arial" w:cs="Arial"/>
        </w:rPr>
        <w:t>de agosto</w:t>
      </w:r>
      <w:r w:rsidR="00DD48A3" w:rsidRPr="00F84E16">
        <w:rPr>
          <w:rFonts w:ascii="Arial" w:eastAsia="Calibri" w:hAnsi="Arial" w:cs="Arial"/>
        </w:rPr>
        <w:t>,</w:t>
      </w:r>
      <w:r w:rsidR="00DD48A3">
        <w:rPr>
          <w:rFonts w:ascii="Arial" w:eastAsia="Calibri" w:hAnsi="Arial" w:cs="Arial"/>
          <w:b/>
          <w:bCs/>
        </w:rPr>
        <w:t xml:space="preserve"> OGAIPO/UT/436</w:t>
      </w:r>
      <w:r w:rsidR="00DD48A3" w:rsidRPr="00D82BC3">
        <w:rPr>
          <w:rFonts w:ascii="Arial" w:eastAsia="Calibri" w:hAnsi="Arial" w:cs="Arial"/>
          <w:b/>
          <w:bCs/>
        </w:rPr>
        <w:t>/</w:t>
      </w:r>
      <w:r w:rsidR="00DD48A3">
        <w:rPr>
          <w:rFonts w:ascii="Arial" w:eastAsia="Calibri" w:hAnsi="Arial" w:cs="Arial"/>
          <w:b/>
          <w:bCs/>
        </w:rPr>
        <w:t xml:space="preserve">2022 y  </w:t>
      </w:r>
      <w:r w:rsidR="00537D01">
        <w:rPr>
          <w:rFonts w:ascii="Arial" w:eastAsia="Calibri" w:hAnsi="Arial" w:cs="Arial"/>
          <w:b/>
          <w:bCs/>
        </w:rPr>
        <w:t xml:space="preserve"> </w:t>
      </w:r>
      <w:r w:rsidR="00DD48A3">
        <w:rPr>
          <w:rFonts w:ascii="Arial" w:eastAsia="Calibri" w:hAnsi="Arial" w:cs="Arial"/>
          <w:b/>
          <w:bCs/>
        </w:rPr>
        <w:t>OGAIPO/UT/43</w:t>
      </w:r>
      <w:r w:rsidR="00D529CE">
        <w:rPr>
          <w:rFonts w:ascii="Arial" w:eastAsia="Calibri" w:hAnsi="Arial" w:cs="Arial"/>
          <w:b/>
          <w:bCs/>
        </w:rPr>
        <w:t>8</w:t>
      </w:r>
      <w:r w:rsidR="00DD48A3" w:rsidRPr="00D82BC3">
        <w:rPr>
          <w:rFonts w:ascii="Arial" w:eastAsia="Calibri" w:hAnsi="Arial" w:cs="Arial"/>
          <w:b/>
          <w:bCs/>
        </w:rPr>
        <w:t>/</w:t>
      </w:r>
      <w:r w:rsidR="00DD48A3">
        <w:rPr>
          <w:rFonts w:ascii="Arial" w:eastAsia="Calibri" w:hAnsi="Arial" w:cs="Arial"/>
          <w:b/>
          <w:bCs/>
        </w:rPr>
        <w:t>2022</w:t>
      </w:r>
      <w:r w:rsidR="00D123DE">
        <w:rPr>
          <w:rFonts w:ascii="Arial" w:eastAsia="Calibri" w:hAnsi="Arial" w:cs="Arial"/>
          <w:b/>
          <w:bCs/>
        </w:rPr>
        <w:t xml:space="preserve"> </w:t>
      </w:r>
      <w:r w:rsidR="00A755CA" w:rsidRPr="00537D01">
        <w:rPr>
          <w:rFonts w:ascii="Arial" w:eastAsia="Calibri" w:hAnsi="Arial" w:cs="Arial"/>
        </w:rPr>
        <w:t>recibido</w:t>
      </w:r>
      <w:r w:rsidR="00D123DE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fecha</w:t>
      </w:r>
      <w:r w:rsidR="00F124B9">
        <w:rPr>
          <w:rFonts w:ascii="Arial" w:eastAsia="Calibri" w:hAnsi="Arial" w:cs="Arial"/>
        </w:rPr>
        <w:t xml:space="preserve"> dieci</w:t>
      </w:r>
      <w:r w:rsidR="00B2724F">
        <w:rPr>
          <w:rFonts w:ascii="Arial" w:eastAsia="Calibri" w:hAnsi="Arial" w:cs="Arial"/>
        </w:rPr>
        <w:t>nueve</w:t>
      </w:r>
      <w:r w:rsidR="00F124B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 </w:t>
      </w:r>
      <w:r w:rsidR="00DD54A4">
        <w:rPr>
          <w:rFonts w:ascii="Arial" w:eastAsia="Calibri" w:hAnsi="Arial" w:cs="Arial"/>
        </w:rPr>
        <w:t>agosto</w:t>
      </w:r>
      <w:r w:rsidR="001F5E1F">
        <w:rPr>
          <w:rFonts w:ascii="Arial" w:eastAsia="Calibri" w:hAnsi="Arial" w:cs="Arial"/>
        </w:rPr>
        <w:t xml:space="preserve"> del 2022</w:t>
      </w:r>
      <w:r w:rsidR="00F124B9">
        <w:rPr>
          <w:rFonts w:ascii="Arial" w:eastAsia="Calibri" w:hAnsi="Arial" w:cs="Arial"/>
        </w:rPr>
        <w:t>,</w:t>
      </w:r>
      <w:r w:rsidR="00F84E16" w:rsidRPr="00F84E16">
        <w:rPr>
          <w:rFonts w:ascii="Arial" w:eastAsia="Calibri" w:hAnsi="Arial" w:cs="Arial"/>
        </w:rPr>
        <w:t xml:space="preserve"> </w:t>
      </w:r>
      <w:r w:rsidR="00F84E16" w:rsidRPr="00D82BC3">
        <w:rPr>
          <w:rFonts w:ascii="Arial" w:eastAsia="Calibri" w:hAnsi="Arial" w:cs="Arial"/>
        </w:rPr>
        <w:t>mediante el Sistema de Solicitudes de Información del Estado de Oaxaca (SISAI 2.0)</w:t>
      </w:r>
      <w:r w:rsidR="00F84E16">
        <w:rPr>
          <w:rFonts w:ascii="Arial" w:eastAsia="Calibri" w:hAnsi="Arial" w:cs="Arial"/>
        </w:rPr>
        <w:t xml:space="preserve">, </w:t>
      </w:r>
      <w:r w:rsidR="009C23AC">
        <w:rPr>
          <w:rFonts w:ascii="Arial" w:eastAsia="Calibri" w:hAnsi="Arial" w:cs="Arial"/>
        </w:rPr>
        <w:t xml:space="preserve">debido a la </w:t>
      </w:r>
      <w:r w:rsidR="009C23AC" w:rsidRPr="009E7016">
        <w:rPr>
          <w:rFonts w:ascii="Arial" w:hAnsi="Arial" w:cs="Arial"/>
        </w:rPr>
        <w:t xml:space="preserve"> suspensión de plazos legales para la sustanciación vía Plataforma Nacional de Transparencia,</w:t>
      </w:r>
      <w:r w:rsidR="009C23AC">
        <w:rPr>
          <w:rFonts w:ascii="Arial" w:hAnsi="Arial" w:cs="Arial"/>
        </w:rPr>
        <w:t xml:space="preserve"> aprobada en el acuerdo número</w:t>
      </w:r>
      <w:r w:rsidR="009C23AC" w:rsidRPr="00F124B9">
        <w:rPr>
          <w:rFonts w:ascii="Arial" w:hAnsi="Arial" w:cs="Arial"/>
          <w:b/>
        </w:rPr>
        <w:t xml:space="preserve"> </w:t>
      </w:r>
      <w:r w:rsidR="009C23AC" w:rsidRPr="009E7016">
        <w:rPr>
          <w:rFonts w:ascii="Arial" w:hAnsi="Arial" w:cs="Arial"/>
          <w:b/>
        </w:rPr>
        <w:t>OGAIPO/CG/068/2022</w:t>
      </w:r>
      <w:r w:rsidR="009C23AC">
        <w:rPr>
          <w:rFonts w:ascii="Arial" w:hAnsi="Arial" w:cs="Arial"/>
          <w:b/>
        </w:rPr>
        <w:t xml:space="preserve"> </w:t>
      </w:r>
      <w:r w:rsidR="009C23AC" w:rsidRPr="009C23AC">
        <w:rPr>
          <w:rFonts w:ascii="Arial" w:hAnsi="Arial" w:cs="Arial"/>
          <w:bCs/>
        </w:rPr>
        <w:t>(</w:t>
      </w:r>
      <w:hyperlink r:id="rId8" w:history="1">
        <w:r w:rsidR="009C23AC" w:rsidRPr="009C23AC">
          <w:rPr>
            <w:rStyle w:val="Hipervnculo"/>
            <w:rFonts w:ascii="Arial" w:hAnsi="Arial" w:cs="Arial"/>
            <w:bCs/>
          </w:rPr>
          <w:t>https://ogaipoaxaca.org.mx/site/descargas/acuerdos/OGAIPO-CG-068-2022.pdf</w:t>
        </w:r>
      </w:hyperlink>
      <w:r w:rsidR="009C23AC" w:rsidRPr="009C23AC">
        <w:rPr>
          <w:rFonts w:ascii="Arial" w:hAnsi="Arial" w:cs="Arial"/>
          <w:bCs/>
        </w:rPr>
        <w:t>)</w:t>
      </w:r>
      <w:r w:rsidR="009C23AC">
        <w:rPr>
          <w:rFonts w:ascii="Arial" w:hAnsi="Arial" w:cs="Arial"/>
          <w:b/>
        </w:rPr>
        <w:t xml:space="preserve">  </w:t>
      </w:r>
      <w:r w:rsidR="009C23AC" w:rsidRPr="00F124B9">
        <w:rPr>
          <w:rFonts w:ascii="Arial" w:hAnsi="Arial" w:cs="Arial"/>
          <w:bCs/>
        </w:rPr>
        <w:t>por</w:t>
      </w:r>
      <w:r w:rsidR="009C23AC" w:rsidRPr="009E7016">
        <w:rPr>
          <w:rFonts w:ascii="Arial" w:hAnsi="Arial" w:cs="Arial"/>
        </w:rPr>
        <w:t xml:space="preserve"> el Consejo General del Órgano Garante de Acceso a la Información Pública, Transparencia, Protección de Datos Personales y Buen Gobierno del Estado de Oaxaca</w:t>
      </w:r>
      <w:r w:rsidR="009C23AC">
        <w:rPr>
          <w:rFonts w:ascii="Arial" w:hAnsi="Arial" w:cs="Arial"/>
        </w:rPr>
        <w:t xml:space="preserve"> en la VIII Extraordinaria y restableciéndose los plazos el lunes 22 de agosto, </w:t>
      </w:r>
      <w:r w:rsidR="00F84E16" w:rsidRPr="00D82BC3">
        <w:rPr>
          <w:rFonts w:ascii="Arial" w:eastAsia="Calibri" w:hAnsi="Arial" w:cs="Arial"/>
        </w:rPr>
        <w:t xml:space="preserve">este cuerpo colegiado </w:t>
      </w:r>
      <w:r w:rsidR="00F84E16">
        <w:rPr>
          <w:rFonts w:ascii="Arial" w:eastAsia="Calibri" w:hAnsi="Arial" w:cs="Arial"/>
        </w:rPr>
        <w:t>admite y analiza lo conducente.</w:t>
      </w:r>
      <w:r w:rsidR="00F84E16" w:rsidRPr="00D82BC3">
        <w:rPr>
          <w:rFonts w:ascii="Arial" w:eastAsia="Calibri" w:hAnsi="Arial" w:cs="Arial"/>
        </w:rPr>
        <w:t xml:space="preserve"> -</w:t>
      </w:r>
      <w:r w:rsidR="00F84E16">
        <w:rPr>
          <w:rFonts w:ascii="Arial" w:eastAsia="Calibri" w:hAnsi="Arial" w:cs="Arial"/>
        </w:rPr>
        <w:t xml:space="preserve"> 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59728290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13AB81CE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59F7CA6" w14:textId="427DCAB7" w:rsidR="009C23AC" w:rsidRDefault="009C23AC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ED6A339" w14:textId="77777777" w:rsidR="009C23AC" w:rsidRDefault="009C23AC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3195652C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B571663" w14:textId="77777777" w:rsidR="007A183F" w:rsidRPr="005E06BC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12FF803D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2027285220001</w:t>
            </w:r>
            <w:r w:rsidR="00537D01">
              <w:rPr>
                <w:rFonts w:ascii="Arial" w:hAnsi="Arial" w:cs="Arial"/>
                <w:sz w:val="24"/>
                <w:szCs w:val="24"/>
              </w:rPr>
              <w:t>7</w:t>
            </w:r>
            <w:r w:rsidR="00F75615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62712805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2A193523" w14:textId="04332B7B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ED18ED3" w14:textId="7DCEA41A" w:rsidR="005263FB" w:rsidRPr="00AC198A" w:rsidRDefault="00F75615" w:rsidP="00AC198A">
            <w:pPr>
              <w:pStyle w:val="Prrafodelista"/>
              <w:widowControl w:val="0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ind w:left="1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relación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actual con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complete y cargo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servidores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públicos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trabajadores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confianza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laboran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San Andrés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Sinaxtla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Nochixtl</w:t>
            </w:r>
            <w:r w:rsidR="00AC198A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 w:rsidR="00AC198A">
              <w:rPr>
                <w:rFonts w:ascii="Arial" w:hAnsi="Arial" w:cs="Arial"/>
                <w:sz w:val="24"/>
                <w:szCs w:val="24"/>
              </w:rPr>
              <w:t xml:space="preserve">, Oaxaca, del </w:t>
            </w:r>
            <w:proofErr w:type="spellStart"/>
            <w:r w:rsidR="00AC198A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="00AC19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C198A">
              <w:rPr>
                <w:rFonts w:ascii="Arial" w:hAnsi="Arial" w:cs="Arial"/>
                <w:sz w:val="24"/>
                <w:szCs w:val="24"/>
              </w:rPr>
              <w:t>anual</w:t>
            </w:r>
            <w:proofErr w:type="spellEnd"/>
            <w:r w:rsidR="00AC198A">
              <w:rPr>
                <w:rFonts w:ascii="Arial" w:hAnsi="Arial" w:cs="Arial"/>
                <w:sz w:val="24"/>
                <w:szCs w:val="24"/>
              </w:rPr>
              <w:t xml:space="preserve"> 2020 hasta la </w:t>
            </w:r>
            <w:proofErr w:type="spellStart"/>
            <w:r w:rsidR="00AC198A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="00AC198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7A6E8E" w14:textId="5D6A8340" w:rsidR="00AC198A" w:rsidRPr="00AC198A" w:rsidRDefault="00AC198A" w:rsidP="00AC198A">
            <w:pPr>
              <w:pStyle w:val="Prrafodelista"/>
              <w:widowControl w:val="0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ind w:left="1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relación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actual y real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demás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prestaciones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perciben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motive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cargo y/o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trabajo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todas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las personas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servidores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públicos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trabajadores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confianza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laboran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Ayuntamiento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San Andrés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Sinaxtla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Nochixtlan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Oaxaca,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anual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 hasta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7D92B2" w14:textId="66B8C2B9" w:rsidR="0052487D" w:rsidRPr="00963EFC" w:rsidRDefault="00AC198A" w:rsidP="0052487D">
            <w:pPr>
              <w:pStyle w:val="Prrafodelista"/>
              <w:widowControl w:val="0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ind w:left="15" w:firstLine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simple de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nómina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todas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las personas,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servidores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públicos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trabajadores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confianza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laboran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San Andrés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Sinaxtla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Nochixtlan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Oaxaca</w:t>
            </w:r>
            <w:r w:rsidR="00963EFC">
              <w:rPr>
                <w:rFonts w:ascii="Arial" w:hAnsi="Arial" w:cs="Arial"/>
                <w:sz w:val="24"/>
                <w:szCs w:val="24"/>
              </w:rPr>
              <w:t xml:space="preserve">, del </w:t>
            </w:r>
            <w:proofErr w:type="spellStart"/>
            <w:r w:rsidR="00963EFC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="00963E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63EFC">
              <w:rPr>
                <w:rFonts w:ascii="Arial" w:hAnsi="Arial" w:cs="Arial"/>
                <w:sz w:val="24"/>
                <w:szCs w:val="24"/>
              </w:rPr>
              <w:t>anual</w:t>
            </w:r>
            <w:proofErr w:type="spellEnd"/>
            <w:r w:rsidR="00963EFC">
              <w:rPr>
                <w:rFonts w:ascii="Arial" w:hAnsi="Arial" w:cs="Arial"/>
                <w:sz w:val="24"/>
                <w:szCs w:val="24"/>
              </w:rPr>
              <w:t xml:space="preserve">   2020 hasta la </w:t>
            </w:r>
            <w:proofErr w:type="spellStart"/>
            <w:r w:rsidR="00963EFC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="00963EF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132B51" w14:textId="0F44FFF9" w:rsidR="00963EFC" w:rsidRPr="00963EFC" w:rsidRDefault="00963EFC" w:rsidP="0052487D">
            <w:pPr>
              <w:pStyle w:val="Prrafodelista"/>
              <w:widowControl w:val="0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ind w:left="1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relación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integrantes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cabildo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San Andrés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Sinaxtla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Nochixtlan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Oaxaca,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anual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 hasta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1CBB03" w14:textId="0B5E1CA2" w:rsidR="00963EFC" w:rsidRPr="00D14AA9" w:rsidRDefault="00D14AA9" w:rsidP="0052487D">
            <w:pPr>
              <w:pStyle w:val="Prrafodelista"/>
              <w:widowControl w:val="0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ind w:left="15" w:firstLine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simple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contratos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 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suscrito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beneficio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Agencia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Municipal de Santa María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Suchixtlan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perteneciente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San Andrés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Sinaxtla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Nochixtlan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Oaxaca,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día primero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2020, hasta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7D268E" w14:textId="440A00B6" w:rsidR="00D14AA9" w:rsidRPr="00D14AA9" w:rsidRDefault="00D14AA9" w:rsidP="0052487D">
            <w:pPr>
              <w:pStyle w:val="Prrafodelista"/>
              <w:widowControl w:val="0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ind w:left="15" w:firstLine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simple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todas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constancias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recibos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contables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indiquen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subsidio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28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fondos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III y IV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33,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correspondientes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Agencia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Municipal de Santa María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Suchixtlan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perteneciente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Amndrés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Sinaxtla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Nochixtlan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Oaxaca,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día primero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2020, hasta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CA1FF5" w14:textId="672AE367" w:rsidR="00D14AA9" w:rsidRPr="0052681B" w:rsidRDefault="00D14AA9" w:rsidP="0052487D">
            <w:pPr>
              <w:pStyle w:val="Prrafodelista"/>
              <w:widowControl w:val="0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ind w:left="15" w:firstLine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simple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recibos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constancias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contables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indiquen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tipo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poyos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extraordinarios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 que ha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recibido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Agencia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 Municipal de Santa María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Suchixtlan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 de San Andrés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Sinaxtla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Nochixtlan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, Oaxaca, a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partir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 del día primero de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 xml:space="preserve"> 2020, hasta la </w:t>
            </w:r>
            <w:proofErr w:type="spellStart"/>
            <w:r w:rsidR="0052681B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="005268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62D7EE" w14:textId="1C571786" w:rsidR="0052681B" w:rsidRPr="0052681B" w:rsidRDefault="0052681B" w:rsidP="0052487D">
            <w:pPr>
              <w:pStyle w:val="Prrafodelista"/>
              <w:widowControl w:val="0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ind w:left="15" w:firstLine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simple del acta General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Comunitaria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respective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asistencia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elección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autoridades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fungirán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trienio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2023 al 2025,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municpio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San Andrés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Sinaxtla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Nochixtlan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Oaxaca.</w:t>
            </w:r>
          </w:p>
          <w:p w14:paraId="542E2A33" w14:textId="12D85975" w:rsidR="0052681B" w:rsidRDefault="0052681B" w:rsidP="005268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0EC86DE" w14:textId="77777777" w:rsidR="0052681B" w:rsidRPr="0052681B" w:rsidRDefault="0052681B" w:rsidP="005268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CB2ACF6" w14:textId="77777777" w:rsidR="00F75615" w:rsidRP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7561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F75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F75615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F7561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DA25ED0" w14:textId="77777777" w:rsidR="00F75615" w:rsidRP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1C3EBD" w14:textId="77777777" w:rsidR="00F75615" w:rsidRP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615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F75615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1B9F7ECD" w14:textId="7032A66B" w:rsid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615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lastRenderedPageBreak/>
              <w:t>acceso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2275D24" w14:textId="77777777" w:rsidR="00F75615" w:rsidRP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C72766" w14:textId="77777777" w:rsid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615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ANDRÉS SINAXTLA, NOCHIXTLÁN, OAXACA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FEB105" w14:textId="77777777" w:rsid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1A1CEB" w14:textId="77777777" w:rsidR="00F75615" w:rsidRP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615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7F26772" w14:textId="77777777" w:rsid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Domi</w:t>
            </w:r>
            <w:r w:rsidRPr="00F75615">
              <w:rPr>
                <w:rFonts w:ascii="Arial" w:hAnsi="Arial" w:cs="Arial"/>
                <w:sz w:val="24"/>
                <w:szCs w:val="24"/>
              </w:rPr>
              <w:t>cilio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conocido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Presidencia municipal de San Andrés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Sinaxtla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Nochixtlán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, Oaxaca C.P. 696665. </w:t>
            </w:r>
          </w:p>
          <w:p w14:paraId="75D19C70" w14:textId="77777777" w:rsidR="00F75615" w:rsidRP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615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3E95DC1" w14:textId="77777777" w:rsid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615">
              <w:rPr>
                <w:rFonts w:ascii="Arial" w:hAnsi="Arial" w:cs="Arial"/>
                <w:sz w:val="24"/>
                <w:szCs w:val="24"/>
              </w:rPr>
              <w:t xml:space="preserve"> 951 503 7011</w:t>
            </w:r>
          </w:p>
          <w:p w14:paraId="62FEFA36" w14:textId="77777777" w:rsid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3B505E" w14:textId="77777777" w:rsidR="00F75615" w:rsidRP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75615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F75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50B7652A" w14:textId="0623BBD0" w:rsidR="00F75615" w:rsidRDefault="00000000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F75615" w:rsidRPr="00B06BEE">
                <w:rPr>
                  <w:rStyle w:val="Hipervnculo"/>
                  <w:rFonts w:ascii="Arial" w:hAnsi="Arial" w:cs="Arial"/>
                </w:rPr>
                <w:t>municipio_sinaxtla@hotmail.com</w:t>
              </w:r>
            </w:hyperlink>
          </w:p>
          <w:p w14:paraId="567B5442" w14:textId="77777777" w:rsid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DFC494" w14:textId="77777777" w:rsidR="00F75615" w:rsidRP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615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50D04368" w14:textId="63CB77D1" w:rsidR="00F75615" w:rsidRP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F75615">
              <w:rPr>
                <w:rFonts w:ascii="Arial" w:hAnsi="Arial" w:cs="Arial"/>
                <w:sz w:val="24"/>
                <w:szCs w:val="24"/>
              </w:rPr>
              <w:t xml:space="preserve">e 8:00 a 13:00 horas, con la persona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de la Unidad de Transparencia o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0B6CAD1" w14:textId="77777777" w:rsidR="00F75615" w:rsidRP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615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señalado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aunque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no se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encuentre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incorporado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a la Plataforma Nacional de Transparencia,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deberá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recibir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a las solicitudes de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a la información que le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sean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llegadas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lo tanto,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usted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podrá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presentar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cualquier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solicitud de información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directamente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al Municipio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oficialía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partes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correo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electrónico o con la persona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encargada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correspondencia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del Municipio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medios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describen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oficio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de no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competencia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.  Se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F8F8C31" w14:textId="77777777" w:rsidR="00F75615" w:rsidRP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020C98" w14:textId="77777777" w:rsidR="00F75615" w:rsidRP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A9E00F" w14:textId="77777777" w:rsidR="00F75615" w:rsidRP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058C2C" w14:textId="77777777" w:rsidR="00F75615" w:rsidRPr="00F75615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615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55DF3CF7" w:rsidR="0052487D" w:rsidRPr="00C01DC4" w:rsidRDefault="00F75615" w:rsidP="00F7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561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F75615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5A1A4B6D" w:rsidR="0052487D" w:rsidRPr="00D82BC3" w:rsidRDefault="009C23AC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22</w:t>
            </w:r>
            <w:r w:rsidR="00D123DE" w:rsidRPr="00D123D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52487D" w:rsidRPr="00D123DE">
              <w:rPr>
                <w:rFonts w:ascii="Arial" w:hAnsi="Arial" w:cs="Arial"/>
                <w:sz w:val="24"/>
                <w:szCs w:val="24"/>
                <w:lang w:val="es-MX"/>
              </w:rPr>
              <w:t>08/2022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123DE" w:rsidRPr="00755A3B" w14:paraId="679C4EB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E065D1E" w14:textId="341CD5DE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B8649A6" w14:textId="35B4B2B2" w:rsidR="00D123DE" w:rsidRPr="00CB47E5" w:rsidRDefault="00D123DE" w:rsidP="00D12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  <w:p w14:paraId="39C428BE" w14:textId="77777777" w:rsidR="00D123DE" w:rsidRPr="00CB47E5" w:rsidRDefault="00D123DE" w:rsidP="00D12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55BC6C8" w14:textId="77777777" w:rsidR="00D123DE" w:rsidRDefault="00D123DE" w:rsidP="00D12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0A1C8356" w14:textId="77777777" w:rsidR="00D123DE" w:rsidRPr="00DD48A3" w:rsidRDefault="00D123DE" w:rsidP="00D12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62CA265" w14:textId="77777777" w:rsidR="00D123DE" w:rsidRDefault="00D123DE" w:rsidP="00D12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48A3">
              <w:rPr>
                <w:rFonts w:ascii="Arial" w:hAnsi="Arial" w:cs="Arial"/>
                <w:sz w:val="24"/>
                <w:szCs w:val="24"/>
              </w:rPr>
              <w:t>Buenos días.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lineamientos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emitidos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la Unidad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Abastecimiento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Equipamiento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Médico, del INSABI (Instituto Nacional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) con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consolidar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Requerimientos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consolidada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2023 y 2024,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y a las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personas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involucradas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AAMATES (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Ambiente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para la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Administración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Manejo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Atenciones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entre el 26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2022 y el 15 de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agosto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2022,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con lo anterior es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interés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lastRenderedPageBreak/>
              <w:t>respetuosa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: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1.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(Carga de la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)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y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mencionada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(AAMATES),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: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a.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captura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b.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la Unidad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Médica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c. CLUES (Clave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)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d. CLUES (Clave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e. Clave del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insumo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(Clave del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Compendio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).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>f. Descripción.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g. Grupo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terapéutico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h.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ajustada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j.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validada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k.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Referencia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l. Fuente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m.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Autorizado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rechazado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cargado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validado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validar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).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</w:r>
            <w:r w:rsidRPr="00DD48A3">
              <w:rPr>
                <w:rFonts w:ascii="Arial" w:hAnsi="Arial" w:cs="Arial"/>
                <w:sz w:val="24"/>
                <w:szCs w:val="24"/>
              </w:rPr>
              <w:lastRenderedPageBreak/>
              <w:t xml:space="preserve">n.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Comentario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o.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Calendarización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p.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Observaciones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ajustes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2.-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fuente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>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Agradeceremos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envío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la información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de Excel,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descarga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de AAMATES es compatible con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software.</w:t>
            </w:r>
            <w:r w:rsidRPr="00DD48A3">
              <w:rPr>
                <w:rFonts w:ascii="Arial" w:hAnsi="Arial" w:cs="Arial"/>
                <w:sz w:val="24"/>
                <w:szCs w:val="24"/>
              </w:rPr>
              <w:br/>
              <w:t xml:space="preserve">Sin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momento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agradezco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sus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atenciones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estaré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atento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oportuna</w:t>
            </w:r>
            <w:proofErr w:type="spellEnd"/>
            <w:r w:rsidRPr="00DD48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8A3">
              <w:rPr>
                <w:rFonts w:ascii="Arial" w:hAnsi="Arial" w:cs="Arial"/>
                <w:sz w:val="24"/>
                <w:szCs w:val="24"/>
              </w:rPr>
              <w:t>respuest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EB3377" w14:textId="77777777" w:rsidR="00D123DE" w:rsidRDefault="00D123DE" w:rsidP="00D12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1FD6AB0" w14:textId="77777777" w:rsidR="00D123DE" w:rsidRDefault="00D123DE" w:rsidP="00D12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1F2D33C" w14:textId="77777777" w:rsidR="00D123DE" w:rsidRPr="00726266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52F178B" w14:textId="62221E9D" w:rsidR="00D123DE" w:rsidRPr="00DD48A3" w:rsidRDefault="00D123DE" w:rsidP="00D12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9C35698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F70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9F70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9F704D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9F70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5DDF5D6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2CECE2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9F704D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23E0B0C8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9886149" w14:textId="7AF4FED2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B00F1B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67D78F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D5E577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4D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4D3F875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 xml:space="preserve">Calle Gustavo E. </w:t>
            </w:r>
            <w:proofErr w:type="gramStart"/>
            <w:r w:rsidRPr="009F704D">
              <w:rPr>
                <w:rFonts w:ascii="Arial" w:hAnsi="Arial" w:cs="Arial"/>
                <w:sz w:val="24"/>
                <w:szCs w:val="24"/>
              </w:rPr>
              <w:t>Campa  #</w:t>
            </w:r>
            <w:proofErr w:type="gramEnd"/>
            <w:r w:rsidRPr="009F704D">
              <w:rPr>
                <w:rFonts w:ascii="Arial" w:hAnsi="Arial" w:cs="Arial"/>
                <w:sz w:val="24"/>
                <w:szCs w:val="24"/>
              </w:rPr>
              <w:t xml:space="preserve">54, Planta Baja  Colonia Guadalupe Inn,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>, Ciudad de México; C.P. 1020.</w:t>
            </w:r>
          </w:p>
          <w:p w14:paraId="230882DC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168E9D" w14:textId="5369F5D3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4D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4B5F3468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57499 y 57778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FFA1F5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D2A003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F704D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9F70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8677F41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641597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6818BC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4D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4008F66D" w14:textId="0B986D6B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F704D">
              <w:rPr>
                <w:rFonts w:ascii="Arial" w:hAnsi="Arial" w:cs="Arial"/>
                <w:sz w:val="24"/>
                <w:szCs w:val="24"/>
              </w:rPr>
              <w:t xml:space="preserve">e 10:00 a 19:00 horas de lunes 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2E28353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D4C4D2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8F7293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2B3369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AA732EC" w14:textId="39604452" w:rsidR="00D123DE" w:rsidRPr="00F75615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2B084222" w14:textId="77777777" w:rsidR="00D123DE" w:rsidRPr="00D82BC3" w:rsidRDefault="00D123DE" w:rsidP="00D123D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76DDEA04" w14:textId="5D57D065" w:rsidR="00D123DE" w:rsidRPr="00D82BC3" w:rsidRDefault="009C23AC" w:rsidP="00D123D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22</w:t>
            </w:r>
            <w:r w:rsidR="00D123DE" w:rsidRPr="00D123DE">
              <w:rPr>
                <w:rFonts w:ascii="Arial" w:hAnsi="Arial" w:cs="Arial"/>
                <w:sz w:val="24"/>
                <w:szCs w:val="24"/>
                <w:lang w:val="es-MX"/>
              </w:rPr>
              <w:t>/08/2022</w:t>
            </w:r>
          </w:p>
          <w:p w14:paraId="3A678939" w14:textId="77777777" w:rsidR="00D123DE" w:rsidRPr="00755A3B" w:rsidRDefault="00D123DE" w:rsidP="00D123D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6B595249" w14:textId="77777777" w:rsidR="00D123DE" w:rsidRPr="00D82BC3" w:rsidRDefault="00D123DE" w:rsidP="00D123D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1082D98" w14:textId="77777777" w:rsidR="00D123DE" w:rsidRPr="00D82BC3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21C9EA8D" w14:textId="77777777" w:rsidR="00D123DE" w:rsidRPr="00D82BC3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5A37DDE4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C485649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22FBEB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F275890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7D5F42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BC43BC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7F7E8E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626DFC9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63DF76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80899B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2BF40D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3E4A0D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AB9875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F04A224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CCE631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A7B899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619468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8736EB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F52A6BE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B6B075" w14:textId="77777777" w:rsidR="00D123DE" w:rsidRPr="00D82BC3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123DE" w:rsidRPr="00755A3B" w14:paraId="3C754C18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285F2D46" w14:textId="640B0965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E1A6B83" w14:textId="0DA57DC3" w:rsidR="00D123DE" w:rsidRPr="00CB47E5" w:rsidRDefault="00D123DE" w:rsidP="00D12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2027285220001</w:t>
            </w: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14:paraId="669B5EC6" w14:textId="77777777" w:rsidR="00D123DE" w:rsidRPr="00CB47E5" w:rsidRDefault="00D123DE" w:rsidP="00D12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18FB821" w14:textId="77777777" w:rsidR="00D123DE" w:rsidRDefault="00D123DE" w:rsidP="00D12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23D59D36" w14:textId="77777777" w:rsidR="00D123DE" w:rsidRDefault="00D123DE" w:rsidP="00D12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452B805" w14:textId="77777777" w:rsidR="004560DD" w:rsidRDefault="004560DD" w:rsidP="00D12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C891FE7" w14:textId="7399B07D" w:rsidR="004560DD" w:rsidRPr="004560DD" w:rsidRDefault="004560DD" w:rsidP="004560DD">
            <w:pPr>
              <w:pStyle w:val="Prrafodelist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left="157" w:hanging="142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Favor de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remitir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electrónica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físicamente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, el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soporte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documental que se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detalla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continuación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,</w:t>
            </w:r>
            <w:r w:rsidRPr="004560DD">
              <w:rPr>
                <w:sz w:val="18"/>
                <w:szCs w:val="18"/>
              </w:rPr>
              <w:br/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especificando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adjunto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no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contar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con el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solicitado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,</w:t>
            </w:r>
            <w:r w:rsidRPr="004560DD">
              <w:rPr>
                <w:sz w:val="18"/>
                <w:szCs w:val="18"/>
              </w:rPr>
              <w:br/>
            </w:r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responder “no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existe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>casilla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4560DD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14:paraId="7935E6EC" w14:textId="77777777" w:rsidR="004560DD" w:rsidRDefault="004560DD" w:rsidP="004560DD">
            <w:pPr>
              <w:pStyle w:val="Prrafodelista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3E8D443" w14:textId="6E6A626B" w:rsidR="004560DD" w:rsidRPr="00726266" w:rsidRDefault="004560DD" w:rsidP="00456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D947C2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PDF</w:t>
            </w:r>
          </w:p>
          <w:p w14:paraId="6658B0F1" w14:textId="4101B2D2" w:rsidR="004560DD" w:rsidRPr="004560DD" w:rsidRDefault="004560DD" w:rsidP="004560DD">
            <w:pPr>
              <w:pStyle w:val="Prrafodelista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DF0FDF0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F70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9F70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9F704D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9F70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14AD0EF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3E50B1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F75A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ORIENTA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04D">
              <w:rPr>
                <w:rFonts w:ascii="Arial" w:hAnsi="Arial" w:cs="Arial"/>
                <w:sz w:val="24"/>
                <w:szCs w:val="24"/>
              </w:rPr>
              <w:lastRenderedPageBreak/>
              <w:t xml:space="preserve">el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6C05E177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7AA7768" w14:textId="04C3F11F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92649C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A3C">
              <w:rPr>
                <w:rFonts w:ascii="Arial" w:hAnsi="Arial" w:cs="Arial"/>
                <w:b/>
                <w:bCs/>
                <w:sz w:val="24"/>
                <w:szCs w:val="24"/>
              </w:rPr>
              <w:t>SECRETARÍA DE SEGURIDAD PÚBLICA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85DB83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417217" w14:textId="77777777" w:rsidR="00D123DE" w:rsidRPr="00F75A3C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A3C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3755B197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 xml:space="preserve">Calle Belisario Domínguez #428, Nivel 2, Colonia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>, Oaxaca de Juárez, Oaxaca; C.P. 68050.</w:t>
            </w:r>
          </w:p>
          <w:p w14:paraId="7BFFB8AA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8187F1" w14:textId="77777777" w:rsidR="00D123DE" w:rsidRPr="00F75A3C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A3C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A8C4EEE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 xml:space="preserve"> 9515020800 extensión 39114</w:t>
            </w:r>
          </w:p>
          <w:p w14:paraId="3B2A1A85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ABBAE8" w14:textId="77777777" w:rsidR="00D123DE" w:rsidRPr="00F75A3C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75A3C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F75A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503D398C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 xml:space="preserve"> ssp.ut@sspo.gob.mx, con la persona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E26BC5" w14:textId="77777777" w:rsidR="00D123DE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387493" w14:textId="77777777" w:rsidR="00D123DE" w:rsidRPr="00F75A3C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A3C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61B3BA34" w14:textId="3B5AF4A5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F704D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6FB4C9C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B6CFD8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505CC5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03E076" w14:textId="77777777" w:rsidR="00D123DE" w:rsidRPr="009F704D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704D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7388F792" w14:textId="72C6E21C" w:rsidR="00D123DE" w:rsidRPr="00DD48A3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F704D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9F704D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D2449B8" w14:textId="77777777" w:rsidR="00D123DE" w:rsidRPr="00D82BC3" w:rsidRDefault="00D123DE" w:rsidP="00D123D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42CF2CE" w14:textId="19343A8D" w:rsidR="00D123DE" w:rsidRPr="00D82BC3" w:rsidRDefault="00E346A5" w:rsidP="00D123D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22</w:t>
            </w:r>
            <w:r w:rsidR="00D123DE" w:rsidRPr="00D123DE">
              <w:rPr>
                <w:rFonts w:ascii="Arial" w:hAnsi="Arial" w:cs="Arial"/>
                <w:sz w:val="24"/>
                <w:szCs w:val="24"/>
                <w:lang w:val="es-MX"/>
              </w:rPr>
              <w:t>/08/2022</w:t>
            </w:r>
          </w:p>
          <w:p w14:paraId="5B6BB64E" w14:textId="77777777" w:rsidR="00D123DE" w:rsidRPr="00755A3B" w:rsidRDefault="00D123DE" w:rsidP="00D123D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688E9D10" w14:textId="77777777" w:rsidR="00D123DE" w:rsidRPr="00D82BC3" w:rsidRDefault="00D123DE" w:rsidP="00D123D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E3DB6A3" w14:textId="77777777" w:rsidR="00D123DE" w:rsidRPr="00D82BC3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0945F10" w14:textId="77777777" w:rsidR="00D123DE" w:rsidRPr="00D82BC3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470FA61B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64239D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B714A8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0239B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82E273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363A42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65BFC7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7B3245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4805E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FD874A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B3C0684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8D2A754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46A3640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9B0354E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F9B525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A7350A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6AAB05A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3C3FF1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B6DD2D3" w14:textId="77777777" w:rsidR="00D123DE" w:rsidRPr="00D82BC3" w:rsidRDefault="00D123DE" w:rsidP="00D123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C66EC" w14:textId="77777777" w:rsidR="00D123DE" w:rsidRPr="00D82BC3" w:rsidRDefault="00D123DE" w:rsidP="00D12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575EEEC5" w:rsidR="00341D9E" w:rsidRPr="00755A3B" w:rsidRDefault="00F75A3C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3</w:t>
            </w:r>
          </w:p>
        </w:tc>
      </w:tr>
    </w:tbl>
    <w:p w14:paraId="1A2F6482" w14:textId="77777777" w:rsidR="000B1EE4" w:rsidRDefault="000B1EE4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04A2B919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42FEA954" w14:textId="51A192A7" w:rsidR="0052681B" w:rsidRDefault="0052681B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3E83E543" w14:textId="77777777" w:rsidR="00E346A5" w:rsidRPr="00D82BC3" w:rsidRDefault="00E346A5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0F1675" w14:textId="1907A2E9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lastRenderedPageBreak/>
        <w:t>ACUERDO:</w:t>
      </w:r>
    </w:p>
    <w:p w14:paraId="76D07293" w14:textId="5F3DAD0F" w:rsidR="00C83F07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F75A3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F75A3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F75A3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F75A3C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F75A3C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2027285220001</w:t>
      </w:r>
      <w:r w:rsidR="000B1EE4">
        <w:rPr>
          <w:rStyle w:val="form-control"/>
          <w:rFonts w:ascii="Arial" w:hAnsi="Arial" w:cs="Arial"/>
          <w:b/>
        </w:rPr>
        <w:t>7</w:t>
      </w:r>
      <w:r w:rsidR="0052681B">
        <w:rPr>
          <w:rStyle w:val="form-control"/>
          <w:rFonts w:ascii="Arial" w:hAnsi="Arial" w:cs="Arial"/>
          <w:b/>
        </w:rPr>
        <w:t>1</w:t>
      </w:r>
      <w:r w:rsidR="00F75A3C">
        <w:rPr>
          <w:rStyle w:val="form-control"/>
          <w:rFonts w:ascii="Arial" w:hAnsi="Arial" w:cs="Arial"/>
          <w:b/>
        </w:rPr>
        <w:t>, 202728522000174 y 202728522000176</w:t>
      </w:r>
      <w:r w:rsidR="00D61390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/>
        </w:rPr>
        <w:t xml:space="preserve"> </w:t>
      </w:r>
      <w:r w:rsidR="00D61390">
        <w:rPr>
          <w:rStyle w:val="form-control"/>
          <w:rFonts w:ascii="Arial" w:hAnsi="Arial" w:cs="Arial"/>
          <w:bCs/>
        </w:rPr>
        <w:t>-</w:t>
      </w:r>
      <w:r w:rsidR="008D34CC">
        <w:rPr>
          <w:rStyle w:val="form-control"/>
          <w:rFonts w:ascii="Arial" w:hAnsi="Arial" w:cs="Arial"/>
          <w:bCs/>
        </w:rPr>
        <w:t xml:space="preserve"> - - - - - - - - - - - - - - - </w:t>
      </w:r>
    </w:p>
    <w:p w14:paraId="1B91E922" w14:textId="77777777" w:rsidR="00E346A5" w:rsidRDefault="00E346A5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03B6EC3F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623279A4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37A57E0B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E12D88B" w14:textId="77777777" w:rsidR="0052681B" w:rsidRDefault="0052681B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7650DBAE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93789A">
        <w:rPr>
          <w:rFonts w:ascii="Arial" w:hAnsi="Arial" w:cs="Arial"/>
        </w:rPr>
        <w:t>Trigésima</w:t>
      </w:r>
      <w:r w:rsidR="00DD54A4">
        <w:rPr>
          <w:rFonts w:ascii="Arial" w:hAnsi="Arial" w:cs="Arial"/>
        </w:rPr>
        <w:t xml:space="preserve"> </w:t>
      </w:r>
      <w:r w:rsidR="0052681B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A56EC6">
        <w:rPr>
          <w:rFonts w:ascii="Arial" w:hAnsi="Arial" w:cs="Arial"/>
        </w:rPr>
        <w:t>veintidós</w:t>
      </w:r>
      <w:r w:rsidRPr="00D82BC3">
        <w:rPr>
          <w:rFonts w:ascii="Arial" w:hAnsi="Arial" w:cs="Arial"/>
        </w:rPr>
        <w:t xml:space="preserve"> de </w:t>
      </w:r>
      <w:r w:rsidR="00DD54A4">
        <w:rPr>
          <w:rFonts w:ascii="Arial" w:hAnsi="Arial" w:cs="Arial"/>
        </w:rPr>
        <w:t>agosto</w:t>
      </w:r>
      <w:r w:rsidRPr="00D82BC3">
        <w:rPr>
          <w:rFonts w:ascii="Arial" w:hAnsi="Arial" w:cs="Arial"/>
        </w:rPr>
        <w:t xml:space="preserve"> del dos mil veintidós para los efectos a que haya lugar. CONSTE. - - - - - </w:t>
      </w:r>
    </w:p>
    <w:p w14:paraId="27FA87A2" w14:textId="51321EF4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801B96" w14:textId="2B7DC6AA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3B377C" w14:textId="77777777" w:rsidR="004213F8" w:rsidRDefault="004213F8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4329A1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4A8D95B6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B554AA" w14:textId="77777777" w:rsidR="004213F8" w:rsidRDefault="004213F8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251023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38BAE0B9" w14:textId="77777777" w:rsidR="004213F8" w:rsidRDefault="004213F8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CB62BDE" w14:textId="7077A326" w:rsidR="00981772" w:rsidRPr="00A31065" w:rsidRDefault="00981772" w:rsidP="0098177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981772" w:rsidRPr="00A31065" w:rsidSect="00496B6A">
      <w:headerReference w:type="default" r:id="rId10"/>
      <w:footerReference w:type="default" r:id="rId11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E82E" w14:textId="77777777" w:rsidR="004274AF" w:rsidRDefault="004274AF" w:rsidP="00505074">
      <w:r>
        <w:separator/>
      </w:r>
    </w:p>
  </w:endnote>
  <w:endnote w:type="continuationSeparator" w:id="0">
    <w:p w14:paraId="54671372" w14:textId="77777777" w:rsidR="004274AF" w:rsidRDefault="004274A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AADF" w14:textId="77777777" w:rsidR="004274AF" w:rsidRDefault="004274AF" w:rsidP="00505074">
      <w:r>
        <w:separator/>
      </w:r>
    </w:p>
  </w:footnote>
  <w:footnote w:type="continuationSeparator" w:id="0">
    <w:p w14:paraId="06C32E7E" w14:textId="77777777" w:rsidR="004274AF" w:rsidRDefault="004274A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42A0"/>
    <w:multiLevelType w:val="hybridMultilevel"/>
    <w:tmpl w:val="56380E0A"/>
    <w:lvl w:ilvl="0" w:tplc="DC10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41540"/>
    <w:multiLevelType w:val="hybridMultilevel"/>
    <w:tmpl w:val="2F94B448"/>
    <w:lvl w:ilvl="0" w:tplc="91ACF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06871"/>
    <w:multiLevelType w:val="hybridMultilevel"/>
    <w:tmpl w:val="D32030A6"/>
    <w:lvl w:ilvl="0" w:tplc="588A1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1"/>
  </w:num>
  <w:num w:numId="2" w16cid:durableId="891576456">
    <w:abstractNumId w:val="3"/>
  </w:num>
  <w:num w:numId="3" w16cid:durableId="869413361">
    <w:abstractNumId w:val="5"/>
  </w:num>
  <w:num w:numId="4" w16cid:durableId="527909877">
    <w:abstractNumId w:val="2"/>
  </w:num>
  <w:num w:numId="5" w16cid:durableId="923151313">
    <w:abstractNumId w:val="4"/>
  </w:num>
  <w:num w:numId="6" w16cid:durableId="998733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A0245"/>
    <w:rsid w:val="000A6831"/>
    <w:rsid w:val="000B1EE4"/>
    <w:rsid w:val="000D3276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6575B"/>
    <w:rsid w:val="002A4696"/>
    <w:rsid w:val="002B6F5C"/>
    <w:rsid w:val="002C1C6A"/>
    <w:rsid w:val="002C63E7"/>
    <w:rsid w:val="002D152B"/>
    <w:rsid w:val="002E18A0"/>
    <w:rsid w:val="002F11B6"/>
    <w:rsid w:val="00320B59"/>
    <w:rsid w:val="00324F6E"/>
    <w:rsid w:val="00341851"/>
    <w:rsid w:val="0034192B"/>
    <w:rsid w:val="00341D9E"/>
    <w:rsid w:val="003525C4"/>
    <w:rsid w:val="0037163E"/>
    <w:rsid w:val="003756D1"/>
    <w:rsid w:val="003F04E0"/>
    <w:rsid w:val="003F7449"/>
    <w:rsid w:val="003F7C21"/>
    <w:rsid w:val="004213F8"/>
    <w:rsid w:val="004259C1"/>
    <w:rsid w:val="004274AF"/>
    <w:rsid w:val="00443365"/>
    <w:rsid w:val="004560DD"/>
    <w:rsid w:val="0046605C"/>
    <w:rsid w:val="00476946"/>
    <w:rsid w:val="00490BD2"/>
    <w:rsid w:val="00496B6A"/>
    <w:rsid w:val="004B7184"/>
    <w:rsid w:val="004E1620"/>
    <w:rsid w:val="00504E5C"/>
    <w:rsid w:val="00505074"/>
    <w:rsid w:val="0052487D"/>
    <w:rsid w:val="005263FB"/>
    <w:rsid w:val="0052681B"/>
    <w:rsid w:val="00537D01"/>
    <w:rsid w:val="005509B8"/>
    <w:rsid w:val="00562CD1"/>
    <w:rsid w:val="005673D3"/>
    <w:rsid w:val="00576757"/>
    <w:rsid w:val="00585C95"/>
    <w:rsid w:val="005E06BC"/>
    <w:rsid w:val="005E3B8F"/>
    <w:rsid w:val="005F1759"/>
    <w:rsid w:val="005F6794"/>
    <w:rsid w:val="0061401C"/>
    <w:rsid w:val="0061525D"/>
    <w:rsid w:val="006326B5"/>
    <w:rsid w:val="0065548C"/>
    <w:rsid w:val="006647D2"/>
    <w:rsid w:val="00690BD8"/>
    <w:rsid w:val="006E5548"/>
    <w:rsid w:val="00701A5F"/>
    <w:rsid w:val="007540E8"/>
    <w:rsid w:val="007826F6"/>
    <w:rsid w:val="00795B1C"/>
    <w:rsid w:val="007A183F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A602B"/>
    <w:rsid w:val="008B1AD3"/>
    <w:rsid w:val="008D34CC"/>
    <w:rsid w:val="008F5754"/>
    <w:rsid w:val="009100C6"/>
    <w:rsid w:val="00920943"/>
    <w:rsid w:val="0093789A"/>
    <w:rsid w:val="00963EFC"/>
    <w:rsid w:val="00981772"/>
    <w:rsid w:val="009C23AC"/>
    <w:rsid w:val="009D3C0B"/>
    <w:rsid w:val="009F704D"/>
    <w:rsid w:val="00A31065"/>
    <w:rsid w:val="00A56332"/>
    <w:rsid w:val="00A56EC6"/>
    <w:rsid w:val="00A70447"/>
    <w:rsid w:val="00A755CA"/>
    <w:rsid w:val="00AA5A95"/>
    <w:rsid w:val="00AC198A"/>
    <w:rsid w:val="00AC5B2F"/>
    <w:rsid w:val="00B2724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123DE"/>
    <w:rsid w:val="00D14AA9"/>
    <w:rsid w:val="00D252DE"/>
    <w:rsid w:val="00D349E3"/>
    <w:rsid w:val="00D42F4E"/>
    <w:rsid w:val="00D529CE"/>
    <w:rsid w:val="00D61390"/>
    <w:rsid w:val="00D831BD"/>
    <w:rsid w:val="00D85E47"/>
    <w:rsid w:val="00D947C2"/>
    <w:rsid w:val="00D96B13"/>
    <w:rsid w:val="00DC0B0F"/>
    <w:rsid w:val="00DC1402"/>
    <w:rsid w:val="00DC65C4"/>
    <w:rsid w:val="00DD3861"/>
    <w:rsid w:val="00DD48A3"/>
    <w:rsid w:val="00DD54A4"/>
    <w:rsid w:val="00E118C7"/>
    <w:rsid w:val="00E346A5"/>
    <w:rsid w:val="00E807D1"/>
    <w:rsid w:val="00E817A9"/>
    <w:rsid w:val="00E82ECE"/>
    <w:rsid w:val="00EA0409"/>
    <w:rsid w:val="00EC29A4"/>
    <w:rsid w:val="00EE03E6"/>
    <w:rsid w:val="00EE48C4"/>
    <w:rsid w:val="00F023FE"/>
    <w:rsid w:val="00F124B9"/>
    <w:rsid w:val="00F36284"/>
    <w:rsid w:val="00F373F4"/>
    <w:rsid w:val="00F56F58"/>
    <w:rsid w:val="00F75615"/>
    <w:rsid w:val="00F75A3C"/>
    <w:rsid w:val="00F77ABF"/>
    <w:rsid w:val="00F84E16"/>
    <w:rsid w:val="00F854FE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aipoaxaca.org.mx/site/descargas/acuerdos/OGAIPO-CG-068-20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nicipio_sinaxtla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2255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11</cp:revision>
  <cp:lastPrinted>2022-08-22T20:27:00Z</cp:lastPrinted>
  <dcterms:created xsi:type="dcterms:W3CDTF">2022-08-09T16:35:00Z</dcterms:created>
  <dcterms:modified xsi:type="dcterms:W3CDTF">2022-08-22T20:39:00Z</dcterms:modified>
</cp:coreProperties>
</file>