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75DEAAF5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E0669E">
        <w:rPr>
          <w:rFonts w:ascii="Arial" w:hAnsi="Arial" w:cs="Arial"/>
          <w:b/>
          <w:bCs/>
        </w:rPr>
        <w:t>5</w:t>
      </w:r>
      <w:r w:rsidR="002E4C30">
        <w:rPr>
          <w:rFonts w:ascii="Arial" w:hAnsi="Arial" w:cs="Arial"/>
          <w:b/>
          <w:bCs/>
        </w:rPr>
        <w:t>4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7611A3D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2E4C30">
        <w:rPr>
          <w:rFonts w:ascii="Arial" w:eastAsia="Calibri" w:hAnsi="Arial" w:cs="Arial"/>
          <w:b/>
          <w:bCs/>
        </w:rPr>
        <w:t>952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7A7A45">
        <w:rPr>
          <w:rFonts w:ascii="Arial" w:eastAsia="Calibri" w:hAnsi="Arial" w:cs="Arial"/>
        </w:rPr>
        <w:t>c</w:t>
      </w:r>
      <w:r w:rsidR="002E4C30">
        <w:rPr>
          <w:rFonts w:ascii="Arial" w:eastAsia="Calibri" w:hAnsi="Arial" w:cs="Arial"/>
        </w:rPr>
        <w:t>inco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25316936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E0669E">
              <w:rPr>
                <w:rFonts w:ascii="Arial" w:hAnsi="Arial" w:cs="Arial"/>
                <w:sz w:val="24"/>
                <w:szCs w:val="24"/>
              </w:rPr>
              <w:t>39</w:t>
            </w:r>
            <w:r w:rsidR="002E4C30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50068BF3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633BA20" w14:textId="29783717" w:rsidR="00F00C95" w:rsidRDefault="00F00C95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7204A9" w14:textId="77777777" w:rsidR="002E4C30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SISTEMA DE GESTIÓN DE GASTOS CATASTRÓFICOS (SIGGC) VERSIÓN 4.0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entre el 01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2022 y el 05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octubre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2022,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solicitud se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4C30">
              <w:rPr>
                <w:rFonts w:ascii="Arial" w:hAnsi="Arial" w:cs="Arial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con el FONSABI y SADMI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EB96B99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 4.0),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D867CB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8316DD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75AB6D9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AC4F09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279A58F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73D5D69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f. Descripción. </w:t>
            </w:r>
          </w:p>
          <w:p w14:paraId="3208610A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B9BD44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2081B7" w14:textId="026CB1A9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i.Cantidad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4B5930" w14:textId="28A94FF2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E4C30">
              <w:rPr>
                <w:rFonts w:ascii="Arial" w:hAnsi="Arial" w:cs="Arial"/>
                <w:sz w:val="24"/>
                <w:szCs w:val="24"/>
              </w:rPr>
              <w:lastRenderedPageBreak/>
              <w:t>j.Cantidad</w:t>
            </w:r>
            <w:proofErr w:type="spellEnd"/>
            <w:proofErr w:type="gram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3C48C9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35E93F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>l.</w:t>
            </w:r>
            <w:r w:rsidR="00C97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4C30">
              <w:rPr>
                <w:rFonts w:ascii="Arial" w:hAnsi="Arial" w:cs="Arial"/>
                <w:sz w:val="24"/>
                <w:szCs w:val="24"/>
              </w:rPr>
              <w:t xml:space="preserve">Fuente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8BB1A04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>m.</w:t>
            </w:r>
            <w:r w:rsidR="00C970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8F3DE53" w14:textId="77777777" w:rsidR="00C970F2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n.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8C34D5" w14:textId="0CE1AE99" w:rsidR="002E4C30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AFDFB5" w14:textId="739DF350" w:rsidR="00753207" w:rsidRPr="002E4C30" w:rsidRDefault="002E4C30" w:rsidP="002E4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Agradeceremos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envío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información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Excel,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descarga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SISTEMA DE GESTIÓN DE GASTOS CATASTRÓFICOS (SIGGC)” VERSIÓN 4.0 es compatible con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software.</w:t>
            </w:r>
          </w:p>
          <w:p w14:paraId="54DF3ED0" w14:textId="77777777" w:rsidR="00753207" w:rsidRDefault="00753207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98E525D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FA8F5A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ORIENTA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7E5A5A2A" w14:textId="67C248F1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37525B0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34996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5D68BA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5C090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51B883D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2E4C30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2E4C30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>, Ciudad de México; C.P. 1020.</w:t>
            </w:r>
          </w:p>
          <w:p w14:paraId="671CC370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0C9CB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11608BF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</w:p>
          <w:p w14:paraId="302D8883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Correo</w:t>
            </w:r>
            <w:proofErr w:type="spellEnd"/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37BFDED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119011" w14:textId="77777777" w:rsid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85A0CA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C30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6B4201BB" w14:textId="57AEAF09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E4C30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E49422A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7C405E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BE1A56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513F6" w14:textId="77777777" w:rsidR="002E4C30" w:rsidRPr="002E4C30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C30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7DDB791D" w:rsidR="0052487D" w:rsidRPr="00C01DC4" w:rsidRDefault="002E4C30" w:rsidP="002E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4C30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2E4C30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6D36FCDF" w:rsidR="0052487D" w:rsidRPr="00D82BC3" w:rsidRDefault="00E0669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2E4C30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2F77454" w14:textId="77777777" w:rsidR="00F00C95" w:rsidRDefault="00F00C95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60B84ED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BD1EE21" w14:textId="77777777" w:rsidR="00F00C95" w:rsidRDefault="00F00C95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4A369A80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6EA3E99F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E0669E">
        <w:rPr>
          <w:rStyle w:val="form-control"/>
          <w:rFonts w:ascii="Arial" w:hAnsi="Arial" w:cs="Arial"/>
          <w:b/>
        </w:rPr>
        <w:t>39</w:t>
      </w:r>
      <w:r w:rsidR="002E4C30">
        <w:rPr>
          <w:rStyle w:val="form-control"/>
          <w:rFonts w:ascii="Arial" w:hAnsi="Arial" w:cs="Arial"/>
          <w:b/>
        </w:rPr>
        <w:t>6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</w:t>
      </w:r>
      <w:r w:rsidRPr="00D82BC3">
        <w:rPr>
          <w:rFonts w:ascii="Arial" w:hAnsi="Arial" w:cs="Arial"/>
        </w:rPr>
        <w:lastRenderedPageBreak/>
        <w:t xml:space="preserve">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76E7941B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92EE2">
        <w:rPr>
          <w:rFonts w:ascii="Arial" w:hAnsi="Arial" w:cs="Arial"/>
        </w:rPr>
        <w:t>Quincuagésima</w:t>
      </w:r>
      <w:r w:rsidR="004D1458">
        <w:rPr>
          <w:rFonts w:ascii="Arial" w:hAnsi="Arial" w:cs="Arial"/>
        </w:rPr>
        <w:t xml:space="preserve"> </w:t>
      </w:r>
      <w:r w:rsidR="00C970F2">
        <w:rPr>
          <w:rFonts w:ascii="Arial" w:hAnsi="Arial" w:cs="Arial"/>
        </w:rPr>
        <w:t>Tercera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970F2">
        <w:rPr>
          <w:rFonts w:ascii="Arial" w:hAnsi="Arial" w:cs="Arial"/>
        </w:rPr>
        <w:t>seis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  <w:r w:rsidR="00C970F2">
        <w:rPr>
          <w:rFonts w:ascii="Arial" w:hAnsi="Arial" w:cs="Arial"/>
        </w:rPr>
        <w:t xml:space="preserve">- - - - - </w:t>
      </w:r>
    </w:p>
    <w:p w14:paraId="0916254D" w14:textId="31A1A2FC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CF90640" w14:textId="77777777" w:rsidR="00F00C95" w:rsidRDefault="00981772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4D5AB34B" w14:textId="77777777" w:rsidR="00DD33E9" w:rsidRDefault="00DD33E9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BEAB37E" w14:textId="4DC30319" w:rsidR="00A9659A" w:rsidRPr="00FD2DA3" w:rsidRDefault="00981772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1835" w14:textId="77777777" w:rsidR="00DA47FC" w:rsidRDefault="00DA47FC" w:rsidP="00505074">
      <w:r>
        <w:separator/>
      </w:r>
    </w:p>
  </w:endnote>
  <w:endnote w:type="continuationSeparator" w:id="0">
    <w:p w14:paraId="2A35E9A7" w14:textId="77777777" w:rsidR="00DA47FC" w:rsidRDefault="00DA47F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90AE" w14:textId="77777777" w:rsidR="00DA47FC" w:rsidRDefault="00DA47FC" w:rsidP="00505074">
      <w:r>
        <w:separator/>
      </w:r>
    </w:p>
  </w:footnote>
  <w:footnote w:type="continuationSeparator" w:id="0">
    <w:p w14:paraId="6CF516E4" w14:textId="77777777" w:rsidR="00DA47FC" w:rsidRDefault="00DA47F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E4C30"/>
    <w:rsid w:val="002F11B6"/>
    <w:rsid w:val="00320B59"/>
    <w:rsid w:val="00324F6E"/>
    <w:rsid w:val="003334CD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A33BC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6482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A7A4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60053"/>
    <w:rsid w:val="00981772"/>
    <w:rsid w:val="009D3C0B"/>
    <w:rsid w:val="00A005EC"/>
    <w:rsid w:val="00A31065"/>
    <w:rsid w:val="00A31D7A"/>
    <w:rsid w:val="00A526A0"/>
    <w:rsid w:val="00A56332"/>
    <w:rsid w:val="00A64522"/>
    <w:rsid w:val="00A70447"/>
    <w:rsid w:val="00A755CA"/>
    <w:rsid w:val="00A9659A"/>
    <w:rsid w:val="00AA5A95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970F2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A47FC"/>
    <w:rsid w:val="00DC0B0F"/>
    <w:rsid w:val="00DC1402"/>
    <w:rsid w:val="00DC65C4"/>
    <w:rsid w:val="00DD33E9"/>
    <w:rsid w:val="00DD3861"/>
    <w:rsid w:val="00DD54A4"/>
    <w:rsid w:val="00E0669E"/>
    <w:rsid w:val="00E118C7"/>
    <w:rsid w:val="00E2167D"/>
    <w:rsid w:val="00E42CC0"/>
    <w:rsid w:val="00E54192"/>
    <w:rsid w:val="00E807D1"/>
    <w:rsid w:val="00E817A9"/>
    <w:rsid w:val="00EA0409"/>
    <w:rsid w:val="00EE03E6"/>
    <w:rsid w:val="00EE26DC"/>
    <w:rsid w:val="00EE48C4"/>
    <w:rsid w:val="00F00C95"/>
    <w:rsid w:val="00F023FE"/>
    <w:rsid w:val="00F36284"/>
    <w:rsid w:val="00F373F4"/>
    <w:rsid w:val="00F56F58"/>
    <w:rsid w:val="00F77ABF"/>
    <w:rsid w:val="00F83A8C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1246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19</cp:revision>
  <cp:lastPrinted>2022-10-06T14:17:00Z</cp:lastPrinted>
  <dcterms:created xsi:type="dcterms:W3CDTF">2022-08-09T16:35:00Z</dcterms:created>
  <dcterms:modified xsi:type="dcterms:W3CDTF">2022-10-06T14:27:00Z</dcterms:modified>
</cp:coreProperties>
</file>