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B6B4" w14:textId="525A65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  <w:bCs/>
        </w:rPr>
        <w:t>ACUERDO/OGAIPO/CT/0</w:t>
      </w:r>
      <w:r>
        <w:rPr>
          <w:rFonts w:ascii="Arial" w:hAnsi="Arial" w:cs="Arial"/>
          <w:b/>
          <w:bCs/>
        </w:rPr>
        <w:t>1</w:t>
      </w:r>
      <w:r w:rsidR="00BA343F">
        <w:rPr>
          <w:rFonts w:ascii="Arial" w:hAnsi="Arial" w:cs="Arial"/>
          <w:b/>
          <w:bCs/>
        </w:rPr>
        <w:t>4</w:t>
      </w:r>
      <w:r w:rsidRPr="000333F6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  <w:r w:rsidRPr="000333F6">
        <w:rPr>
          <w:rFonts w:ascii="Arial" w:hAnsi="Arial" w:cs="Arial"/>
          <w:b/>
          <w:bCs/>
        </w:rPr>
        <w:t xml:space="preserve"> POR EL CUAL EL COMITÉ DE TRANSPARENCIA DE ESTE ÓRGANO GARANTE, CONFIRMA</w:t>
      </w:r>
      <w:r w:rsidR="00E266B1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 xml:space="preserve">LA DECLARATORIA DE INCOMPETENCIA QUE EMITE LA </w:t>
      </w:r>
      <w:r>
        <w:rPr>
          <w:rFonts w:ascii="Arial" w:hAnsi="Arial" w:cs="Arial"/>
          <w:b/>
          <w:bCs/>
        </w:rPr>
        <w:t>DIRECCIÓN DE TECNOLOGÍAS DE TRANSPARENCIA</w:t>
      </w:r>
      <w:r w:rsidRPr="000333F6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EN </w:t>
      </w:r>
      <w:r w:rsidRPr="00FB67BA">
        <w:rPr>
          <w:rFonts w:ascii="Arial" w:hAnsi="Arial" w:cs="Arial"/>
          <w:b/>
          <w:bCs/>
        </w:rPr>
        <w:t>CUMPLIMIENTO A LA</w:t>
      </w:r>
      <w:r>
        <w:rPr>
          <w:rFonts w:ascii="Arial" w:hAnsi="Arial" w:cs="Arial"/>
          <w:b/>
          <w:bCs/>
        </w:rPr>
        <w:t>S</w:t>
      </w:r>
      <w:r w:rsidRPr="00FB67BA">
        <w:rPr>
          <w:rFonts w:ascii="Arial" w:hAnsi="Arial" w:cs="Arial"/>
          <w:b/>
          <w:bCs/>
        </w:rPr>
        <w:t xml:space="preserve"> RESOLUCI</w:t>
      </w:r>
      <w:r>
        <w:rPr>
          <w:rFonts w:ascii="Arial" w:hAnsi="Arial" w:cs="Arial"/>
          <w:b/>
          <w:bCs/>
        </w:rPr>
        <w:t>ONES</w:t>
      </w:r>
      <w:r w:rsidRPr="00FB67BA">
        <w:rPr>
          <w:rFonts w:ascii="Arial" w:hAnsi="Arial" w:cs="Arial"/>
          <w:b/>
          <w:bCs/>
        </w:rPr>
        <w:t xml:space="preserve"> DE EXPEDIENTE</w:t>
      </w:r>
      <w:r>
        <w:rPr>
          <w:rFonts w:ascii="Arial" w:hAnsi="Arial" w:cs="Arial"/>
          <w:b/>
          <w:bCs/>
        </w:rPr>
        <w:t>S</w:t>
      </w:r>
      <w:r w:rsidRPr="00FB67BA">
        <w:rPr>
          <w:rFonts w:ascii="Arial" w:hAnsi="Arial" w:cs="Arial"/>
          <w:b/>
          <w:bCs/>
        </w:rPr>
        <w:t xml:space="preserve"> </w:t>
      </w:r>
      <w:r w:rsidR="00BA343F" w:rsidRPr="00BA343F">
        <w:rPr>
          <w:rFonts w:ascii="Arial" w:hAnsi="Arial" w:cs="Arial"/>
          <w:b/>
          <w:bCs/>
        </w:rPr>
        <w:t xml:space="preserve">R.R.A.I.1048/2023/SICOM y su acumulado </w:t>
      </w:r>
      <w:r w:rsidR="0080234B" w:rsidRPr="00BA343F">
        <w:rPr>
          <w:rFonts w:ascii="Arial" w:hAnsi="Arial" w:cs="Arial"/>
          <w:b/>
          <w:bCs/>
        </w:rPr>
        <w:t>R.A.I.</w:t>
      </w:r>
      <w:r w:rsidR="00BA343F" w:rsidRPr="00BA343F">
        <w:rPr>
          <w:rFonts w:ascii="Arial" w:hAnsi="Arial" w:cs="Arial"/>
          <w:b/>
          <w:bCs/>
        </w:rPr>
        <w:t>1053/2023/SICOM</w:t>
      </w:r>
      <w:r w:rsidR="00BA343F">
        <w:rPr>
          <w:rFonts w:ascii="Arial" w:hAnsi="Arial" w:cs="Arial"/>
          <w:b/>
          <w:bCs/>
        </w:rPr>
        <w:t xml:space="preserve"> Y EL </w:t>
      </w:r>
      <w:r w:rsidR="00BA343F" w:rsidRPr="00BA343F">
        <w:rPr>
          <w:rFonts w:ascii="Arial" w:hAnsi="Arial" w:cs="Arial"/>
          <w:b/>
          <w:bCs/>
        </w:rPr>
        <w:t>R.R.A.I.1047/2023/SICOM</w:t>
      </w:r>
      <w:r>
        <w:rPr>
          <w:rFonts w:ascii="Arial" w:hAnsi="Arial" w:cs="Arial"/>
          <w:b/>
          <w:bCs/>
        </w:rPr>
        <w:t>,</w:t>
      </w:r>
      <w:r w:rsidRPr="00FB67BA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RESPECTO DE LA</w:t>
      </w:r>
      <w:r>
        <w:rPr>
          <w:rFonts w:ascii="Arial" w:hAnsi="Arial" w:cs="Arial"/>
          <w:b/>
          <w:bCs/>
        </w:rPr>
        <w:t>S</w:t>
      </w:r>
      <w:r w:rsidRPr="000333F6">
        <w:rPr>
          <w:rFonts w:ascii="Arial" w:hAnsi="Arial" w:cs="Arial"/>
          <w:b/>
          <w:bCs/>
        </w:rPr>
        <w:t xml:space="preserve"> SOLICITUD</w:t>
      </w:r>
      <w:r>
        <w:rPr>
          <w:rFonts w:ascii="Arial" w:hAnsi="Arial" w:cs="Arial"/>
          <w:b/>
          <w:bCs/>
        </w:rPr>
        <w:t>ES</w:t>
      </w:r>
      <w:r w:rsidRPr="000333F6">
        <w:rPr>
          <w:rFonts w:ascii="Arial" w:hAnsi="Arial" w:cs="Arial"/>
          <w:b/>
          <w:bCs/>
        </w:rPr>
        <w:t xml:space="preserve"> DE ACCESO A LA INFORMACIÓN PÚBLICA</w:t>
      </w:r>
      <w:r>
        <w:rPr>
          <w:rFonts w:ascii="Arial" w:hAnsi="Arial" w:cs="Arial"/>
          <w:b/>
          <w:bCs/>
        </w:rPr>
        <w:t xml:space="preserve"> CON NÚMEROS DE FOLIO </w:t>
      </w:r>
      <w:r w:rsidR="00BA343F" w:rsidRPr="00BA343F">
        <w:rPr>
          <w:rFonts w:ascii="Arial" w:hAnsi="Arial" w:cs="Arial"/>
          <w:b/>
          <w:bCs/>
        </w:rPr>
        <w:t>202728523000418, 202728523000417</w:t>
      </w:r>
      <w:r w:rsidRPr="00FB67BA">
        <w:rPr>
          <w:rFonts w:ascii="Arial" w:hAnsi="Arial" w:cs="Arial"/>
          <w:b/>
          <w:bCs/>
        </w:rPr>
        <w:t xml:space="preserve"> Y </w:t>
      </w:r>
      <w:r w:rsidR="00BA343F" w:rsidRPr="00BA343F">
        <w:rPr>
          <w:rFonts w:ascii="Arial" w:hAnsi="Arial" w:cs="Arial"/>
          <w:b/>
          <w:bCs/>
        </w:rPr>
        <w:t>202728523000416</w:t>
      </w:r>
      <w:r>
        <w:rPr>
          <w:rFonts w:ascii="Arial" w:hAnsi="Arial" w:cs="Arial"/>
          <w:b/>
          <w:bCs/>
        </w:rPr>
        <w:t xml:space="preserve">. - - - - - - - - - - </w:t>
      </w:r>
    </w:p>
    <w:p w14:paraId="2064D6A2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8EA5074" w14:textId="77777777" w:rsidR="0080234B" w:rsidRPr="007571C4" w:rsidRDefault="0080234B" w:rsidP="008023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7571C4">
        <w:rPr>
          <w:rFonts w:ascii="Arial" w:hAnsi="Arial" w:cs="Arial"/>
          <w:bCs/>
        </w:rPr>
        <w:t xml:space="preserve">Con fundamento en lo establecido en los artículos: 24 fracción I, 43 y 44 de la Ley General de Transparencia y Acceso a la Información Pública; 10 fracción XVI, 72 y 73 de la Ley de Transparencia, Acceso a la Información Pública y Buen Gobierno del Estado de Oaxaca y 1, 3, 4, 13, 14, del </w:t>
      </w:r>
      <w:r w:rsidRPr="007571C4">
        <w:rPr>
          <w:rFonts w:ascii="Arial" w:hAnsi="Arial" w:cs="Arial"/>
          <w:bCs/>
          <w:lang w:val="es-ES_tradnl"/>
        </w:rPr>
        <w:t>Reglamento Interno del Comité de Transparencia del Órgano Garante de Acceso a la Información Pública, Transparencia, Protección de Datos Personales y Buen Gobierno del Estado de Oaxaca, se emite el presente acuerdo tomando en cuenta los siguientes: - - - - - - -</w:t>
      </w:r>
    </w:p>
    <w:p w14:paraId="401D392C" w14:textId="77777777" w:rsidR="0080234B" w:rsidRPr="007571C4" w:rsidRDefault="0080234B" w:rsidP="008023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3C272E51" w14:textId="77777777" w:rsidR="0080234B" w:rsidRPr="007571C4" w:rsidRDefault="0080234B" w:rsidP="0080234B">
      <w:pPr>
        <w:pStyle w:val="Sinespaciado"/>
        <w:spacing w:line="360" w:lineRule="auto"/>
        <w:jc w:val="center"/>
        <w:rPr>
          <w:rFonts w:ascii="Arial" w:eastAsia="Calibri" w:hAnsi="Arial" w:cs="Arial"/>
          <w:b/>
          <w:lang w:val="es-ES_tradnl"/>
        </w:rPr>
      </w:pPr>
      <w:r w:rsidRPr="007571C4">
        <w:rPr>
          <w:rFonts w:ascii="Arial" w:eastAsia="Calibri" w:hAnsi="Arial" w:cs="Arial"/>
          <w:b/>
          <w:lang w:val="es-ES_tradnl"/>
        </w:rPr>
        <w:t>A N T E C E D E N T E S</w:t>
      </w:r>
    </w:p>
    <w:p w14:paraId="4628B164" w14:textId="77777777" w:rsidR="0080234B" w:rsidRPr="007571C4" w:rsidRDefault="0080234B" w:rsidP="0080234B">
      <w:pPr>
        <w:pStyle w:val="Sinespaciado"/>
        <w:spacing w:line="360" w:lineRule="auto"/>
        <w:jc w:val="center"/>
        <w:rPr>
          <w:rFonts w:ascii="Arial" w:eastAsia="Calibri" w:hAnsi="Arial" w:cs="Arial"/>
          <w:b/>
          <w:lang w:val="es-ES_tradnl"/>
        </w:rPr>
      </w:pPr>
    </w:p>
    <w:p w14:paraId="222A2C9C" w14:textId="77777777" w:rsidR="0080234B" w:rsidRPr="007571C4" w:rsidRDefault="0080234B" w:rsidP="0080234B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7571C4">
        <w:rPr>
          <w:rFonts w:ascii="Arial" w:eastAsia="Calibri" w:hAnsi="Arial" w:cs="Arial"/>
          <w:b/>
        </w:rPr>
        <w:t>1.-</w:t>
      </w:r>
      <w:r w:rsidRPr="007571C4">
        <w:rPr>
          <w:rFonts w:ascii="Arial" w:eastAsia="Calibri" w:hAnsi="Arial" w:cs="Arial"/>
        </w:rPr>
        <w:t xml:space="preserve"> Con fecha veintisiete de octubre del dos mil veintiuno, se instaló formalmente e inició funciones mediante Sesión Solemne el Órgano Garante de Acceso a la Información Pública, Transparencia, Protección de Datos Personales y Buen Gobierno del Estado de Oaxaca, emitiendo, por consiguiente, el Acuerdo OGAIP/CG/01/2021, por el que hizo del conocimiento de las autoridades federales, estatales y municipales del Estado de Oaxaca, así como del público en general de esta situación. - - - - - - - - - - - - - - - - - - - - - - - - - - - - - - - - - - - - - - - - - - - - - - - - - </w:t>
      </w:r>
    </w:p>
    <w:p w14:paraId="46FE29FF" w14:textId="77777777" w:rsidR="0080234B" w:rsidRPr="007571C4" w:rsidRDefault="0080234B" w:rsidP="0080234B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7571C4">
        <w:rPr>
          <w:rFonts w:ascii="Arial" w:eastAsia="Calibri" w:hAnsi="Arial" w:cs="Arial"/>
        </w:rPr>
        <w:t xml:space="preserve">Aunado a lo anterior, las y los integrantes del Consejo General del Órgano Garante de Acceso a la Información Pública, Transparencia, Protección de Datos Personales y Buen Gobierno del Estado de Oaxaca tuvieron </w:t>
      </w:r>
      <w:r>
        <w:rPr>
          <w:rFonts w:ascii="Arial" w:eastAsia="Calibri" w:hAnsi="Arial" w:cs="Arial"/>
        </w:rPr>
        <w:t xml:space="preserve">a </w:t>
      </w:r>
      <w:r w:rsidRPr="007571C4">
        <w:rPr>
          <w:rFonts w:ascii="Arial" w:eastAsia="Calibri" w:hAnsi="Arial" w:cs="Arial"/>
        </w:rPr>
        <w:t xml:space="preserve">bien designar al Comisionado José Luis Echeverría Morales como Presidente para los efectos de representación legal y administración del órgano autónomo. - - - - - - - - - - - - - - - - - - - - - - - - - - - - </w:t>
      </w:r>
    </w:p>
    <w:p w14:paraId="1F9E06DD" w14:textId="77777777" w:rsidR="0080234B" w:rsidRPr="007571C4" w:rsidRDefault="0080234B" w:rsidP="0080234B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7571C4">
        <w:rPr>
          <w:rFonts w:ascii="Arial" w:eastAsia="Calibri" w:hAnsi="Arial" w:cs="Arial"/>
          <w:b/>
        </w:rPr>
        <w:t>2.-</w:t>
      </w:r>
      <w:r w:rsidRPr="007571C4">
        <w:rPr>
          <w:rFonts w:ascii="Arial" w:eastAsia="Calibri" w:hAnsi="Arial" w:cs="Arial"/>
        </w:rPr>
        <w:t xml:space="preserve"> Con fecha doce de diciembre del dos mil veintiuno, se celebró la Primera Sesión Ordinaria del 2021 del Consejo General del Órgano Garante de Acceso a la Información Pública, Transparencia, Protección de Datos Personales y Buen Gobierno del Estado de Oaxaca, misma en la que las Comisionadas y los Comisionados integrantes del Consejo General del este Órgano, en su dualidad de Sujeto Obligado y Órgano Garante tuvieron a bien designar a las y los integrantes del Comité de Transparencia. - - - - - - - - - - - - - - - - - - - - - - - - - - - - - - - - - - - - - - - </w:t>
      </w:r>
    </w:p>
    <w:p w14:paraId="0C79FCFE" w14:textId="77777777" w:rsidR="0080234B" w:rsidRPr="007571C4" w:rsidRDefault="0080234B" w:rsidP="0080234B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7571C4">
        <w:rPr>
          <w:rFonts w:ascii="Arial" w:eastAsia="Calibri" w:hAnsi="Arial" w:cs="Arial"/>
          <w:b/>
        </w:rPr>
        <w:lastRenderedPageBreak/>
        <w:t xml:space="preserve">3.- </w:t>
      </w:r>
      <w:r w:rsidRPr="007571C4">
        <w:rPr>
          <w:rFonts w:ascii="Arial" w:eastAsia="Calibri" w:hAnsi="Arial" w:cs="Arial"/>
        </w:rPr>
        <w:t>Con fecha tres de enero del dos mil veintitrés, el Comisionado José Luis Echeverría Morales, presentó su renuncia voluntaria e irrevocable al cargo de Presidente, por lo que en atención a la misma las y los integrantes del Consejo General del Órgano Garante celebraron la Primera Sesión Extraordinaria del año dos mil veintitrés en la</w:t>
      </w:r>
      <w:r>
        <w:rPr>
          <w:rFonts w:ascii="Arial" w:eastAsia="Calibri" w:hAnsi="Arial" w:cs="Arial"/>
        </w:rPr>
        <w:t xml:space="preserve"> que</w:t>
      </w:r>
      <w:r w:rsidRPr="007571C4">
        <w:rPr>
          <w:rFonts w:ascii="Arial" w:eastAsia="Calibri" w:hAnsi="Arial" w:cs="Arial"/>
        </w:rPr>
        <w:t xml:space="preserve"> aprobaron el Acuerdo OGAIPO/CG/01/2023, mismo en el que designaron al Comisionado Josué Solana Salmorán al cargo de Comisionado Presidente por el periodo que comprende del tres de enero al veintisiete de octubre del </w:t>
      </w:r>
      <w:r>
        <w:rPr>
          <w:rFonts w:ascii="Arial" w:eastAsia="Calibri" w:hAnsi="Arial" w:cs="Arial"/>
        </w:rPr>
        <w:t>dos mil veintitrés</w:t>
      </w:r>
      <w:r w:rsidRPr="007571C4">
        <w:rPr>
          <w:rFonts w:ascii="Arial" w:eastAsia="Calibri" w:hAnsi="Arial" w:cs="Arial"/>
        </w:rPr>
        <w:t xml:space="preserve">. - - - - - - - - - - - - - - - - - - - - - - - - - - - - - - - - - - - - - - - - - - - - - </w:t>
      </w:r>
    </w:p>
    <w:p w14:paraId="3EEB524C" w14:textId="77777777" w:rsidR="0080234B" w:rsidRPr="007571C4" w:rsidRDefault="0080234B" w:rsidP="0080234B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7571C4">
        <w:rPr>
          <w:rFonts w:ascii="Arial" w:eastAsia="Calibri" w:hAnsi="Arial" w:cs="Arial"/>
          <w:b/>
        </w:rPr>
        <w:t>4.-</w:t>
      </w:r>
      <w:r w:rsidRPr="007571C4">
        <w:rPr>
          <w:rFonts w:ascii="Arial" w:eastAsia="Calibri" w:hAnsi="Arial" w:cs="Arial"/>
        </w:rPr>
        <w:t xml:space="preserve"> Con fecha veintisiete de enero del dos mil veintitrés, se celebró la Segunda Sesión Ordinaria del 2023 del Consejo General del Órgano Garante de Acceso a la Información Pública, Transparencia, Protección de Datos Personales y Buen Gobierno del Estado de Oaxaca, misma en la que las Comisionadas y los Comisionados integrantes del Consejo General del este Órgano, aprobaron el Acuerdo OGAIPO/CG/008/2023, mediante el que designaron a las y los integrantes del Comité de Transparencia, del Responsable de la Unidad de Transparencia y personal habilitado de la misma, del Órgano Garante en su calidad de sujeto obligado. - - - - - - - - - - - - - - - - - - - - - - - - - - - - - - - - - - - - - - - - - - - - - - - - - - - - - -</w:t>
      </w:r>
    </w:p>
    <w:p w14:paraId="64C10606" w14:textId="77777777" w:rsidR="0080234B" w:rsidRPr="007571C4" w:rsidRDefault="0080234B" w:rsidP="0080234B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7571C4">
        <w:rPr>
          <w:rFonts w:ascii="Arial" w:eastAsia="Calibri" w:hAnsi="Arial" w:cs="Arial"/>
          <w:b/>
        </w:rPr>
        <w:t>5.-</w:t>
      </w:r>
      <w:r w:rsidRPr="007571C4">
        <w:rPr>
          <w:rFonts w:ascii="Arial" w:eastAsia="Calibri" w:hAnsi="Arial" w:cs="Arial"/>
        </w:rPr>
        <w:t xml:space="preserve"> Con fecha diez de octubre del dos mil veintitrés, las y los integrantes del Consejo General, celebraron la Décima Quinta Sesión Extraordinaria del año dos mil veintitrés, en la que aprobaron el Acuerdo OGAIPO/CG/088/2023, por el que ratificaron al Comisionado Josué Solana Salmorán como Comisionado Presidente del Consejo General y del Órgano Garante para completar un periodo de dos años, es decir hasta el tres de enero del dos mil veinticinco. - - - - - - - - - - - - - - - - - - - - - </w:t>
      </w:r>
    </w:p>
    <w:p w14:paraId="5C10FAE8" w14:textId="77777777" w:rsidR="0080234B" w:rsidRPr="007571C4" w:rsidRDefault="0080234B" w:rsidP="0080234B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7571C4">
        <w:rPr>
          <w:rFonts w:ascii="Arial" w:eastAsia="Calibri" w:hAnsi="Arial" w:cs="Arial"/>
          <w:b/>
        </w:rPr>
        <w:t>6.-</w:t>
      </w:r>
      <w:r w:rsidRPr="007571C4">
        <w:rPr>
          <w:rFonts w:ascii="Arial" w:eastAsia="Calibri" w:hAnsi="Arial" w:cs="Arial"/>
        </w:rPr>
        <w:t xml:space="preserve"> Con fecha veintidós de noviembre del dos mil veintitrés, se celebró la Vigésima Primera Sesión Ordinaria del 2023 del Consejo General del Órgano Garante de Acceso a la Información Pública, Transparencia, Protección de Datos Personales y Buen Gobierno del Estado de Oaxaca, misma en la que las Comisionadas y los Comisionados integrantes del Consejo General del este Órgano, aprobaron el Acuerdo OGAIPO/CG/103/2023, mediante el que designaron al Presidente y a la Vocal Segunda del Comité de Transparencia así como a la Responsable de la Unidad de Transparencia del Órgano Garante en su calidad de sujeto obligado; y</w:t>
      </w:r>
    </w:p>
    <w:p w14:paraId="0741E04F" w14:textId="77777777" w:rsidR="00FB67BA" w:rsidRPr="000333F6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0546DC64" w14:textId="4046231D" w:rsidR="00FB67BA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  <w:bCs/>
        </w:rPr>
        <w:t>C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O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N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S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I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D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E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R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A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N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D</w:t>
      </w:r>
      <w:r w:rsidR="0080234B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O</w:t>
      </w:r>
    </w:p>
    <w:p w14:paraId="38EEEF9E" w14:textId="77777777" w:rsidR="0080234B" w:rsidRPr="000333F6" w:rsidRDefault="0080234B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2F84123A" w14:textId="77777777" w:rsidR="00E266B1" w:rsidRPr="007571C4" w:rsidRDefault="00E266B1" w:rsidP="00E266B1">
      <w:pPr>
        <w:pStyle w:val="Sinespaciado"/>
        <w:spacing w:line="360" w:lineRule="auto"/>
        <w:jc w:val="both"/>
        <w:rPr>
          <w:rFonts w:ascii="Arial" w:eastAsia="Times New Roman" w:hAnsi="Arial" w:cs="Arial"/>
        </w:rPr>
      </w:pPr>
      <w:r w:rsidRPr="007571C4">
        <w:rPr>
          <w:rFonts w:ascii="Arial" w:eastAsia="Times New Roman" w:hAnsi="Arial" w:cs="Arial"/>
          <w:b/>
          <w:lang w:val="es-ES_tradnl"/>
        </w:rPr>
        <w:t>PRIMERO. -</w:t>
      </w:r>
      <w:r w:rsidRPr="007571C4">
        <w:rPr>
          <w:rFonts w:ascii="Arial" w:eastAsia="Times New Roman" w:hAnsi="Arial" w:cs="Arial"/>
          <w:lang w:val="es-ES_tradnl"/>
        </w:rPr>
        <w:t xml:space="preserve"> Con fundamento en lo dispuesto por los artículos 44 fracción II de la Ley General de Transparencia y Acceso a la Información Pública y 73 fracción II de la Ley de Transparencia, Acceso a la Información Pública y Buen Gobierno del Estado de Oaxaca, y 14 fracción </w:t>
      </w:r>
      <w:r w:rsidRPr="007571C4">
        <w:rPr>
          <w:rFonts w:ascii="Arial" w:eastAsia="Calibri" w:hAnsi="Arial" w:cs="Arial"/>
          <w:lang w:val="es-ES_tradnl"/>
        </w:rPr>
        <w:t xml:space="preserve">XIV del Reglamento Interno del Comité de Transparencia del Órgano Garante de Acceso a la Información Pública, </w:t>
      </w:r>
      <w:r w:rsidRPr="007571C4">
        <w:rPr>
          <w:rFonts w:ascii="Arial" w:eastAsia="Calibri" w:hAnsi="Arial" w:cs="Arial"/>
          <w:lang w:val="es-ES_tradnl"/>
        </w:rPr>
        <w:lastRenderedPageBreak/>
        <w:t>Transparencia, Protección de Datos Personales y Buen Gobierno del Estado de Oaxaca</w:t>
      </w:r>
      <w:r w:rsidRPr="007571C4">
        <w:rPr>
          <w:rFonts w:ascii="Arial" w:eastAsia="Times New Roman" w:hAnsi="Arial" w:cs="Arial"/>
          <w:lang w:val="es-ES_tradnl"/>
        </w:rPr>
        <w:t xml:space="preserve">, el Comité de Transparencia del Órgano Garante, es competente para </w:t>
      </w:r>
      <w:r w:rsidRPr="007571C4">
        <w:rPr>
          <w:rFonts w:ascii="Arial" w:eastAsia="Times New Roman" w:hAnsi="Arial" w:cs="Arial"/>
        </w:rPr>
        <w:t xml:space="preserve">confirmar, modificar o revocar las determinaciones que, en materia de declaración  de </w:t>
      </w:r>
      <w:r>
        <w:rPr>
          <w:rFonts w:ascii="Arial" w:eastAsia="Times New Roman" w:hAnsi="Arial" w:cs="Arial"/>
        </w:rPr>
        <w:t>incompetencia</w:t>
      </w:r>
      <w:r w:rsidRPr="007571C4">
        <w:rPr>
          <w:rFonts w:ascii="Arial" w:eastAsia="Times New Roman" w:hAnsi="Arial" w:cs="Arial"/>
        </w:rPr>
        <w:t xml:space="preserve"> que realicen las y los titulares de las áreas administrativas. </w:t>
      </w:r>
      <w:r w:rsidRPr="007571C4">
        <w:rPr>
          <w:rFonts w:ascii="Arial" w:eastAsia="Times New Roman" w:hAnsi="Arial" w:cs="Arial"/>
          <w:lang w:val="es-ES_tradnl"/>
        </w:rPr>
        <w:t xml:space="preserve">- - - - </w:t>
      </w:r>
    </w:p>
    <w:p w14:paraId="78BBF85C" w14:textId="77777777" w:rsidR="00E266B1" w:rsidRPr="007571C4" w:rsidRDefault="00E266B1" w:rsidP="00E266B1">
      <w:pPr>
        <w:spacing w:line="360" w:lineRule="auto"/>
        <w:jc w:val="both"/>
        <w:rPr>
          <w:rFonts w:ascii="Arial" w:eastAsia="Times New Roman" w:hAnsi="Arial" w:cs="Arial"/>
        </w:rPr>
      </w:pPr>
      <w:r w:rsidRPr="007571C4">
        <w:rPr>
          <w:rFonts w:ascii="Arial" w:eastAsia="Times New Roman" w:hAnsi="Arial" w:cs="Arial"/>
          <w:b/>
          <w:lang w:val="es-ES_tradnl"/>
        </w:rPr>
        <w:t>SEGUNDO. –</w:t>
      </w:r>
      <w:r w:rsidRPr="007571C4">
        <w:rPr>
          <w:rFonts w:ascii="Arial" w:eastAsia="Times New Roman" w:hAnsi="Arial" w:cs="Arial"/>
          <w:lang w:val="es-ES_tradnl"/>
        </w:rPr>
        <w:t xml:space="preserve"> De conformidad con lo establecido en los artículos</w:t>
      </w:r>
      <w:r w:rsidRPr="00A75485">
        <w:rPr>
          <w:rFonts w:ascii="Arial" w:eastAsia="Times New Roman" w:hAnsi="Arial" w:cs="Arial"/>
          <w:lang w:val="es-ES_tradnl"/>
        </w:rPr>
        <w:t xml:space="preserve"> 44 fracción II de la Ley General de Transparencia y Acceso a la Información Pública y 73 fracción II de la Ley de Transparencia, Acceso a la Información Pública y Buen Gobierno del Estado de Oaxaca</w:t>
      </w:r>
      <w:r w:rsidRPr="007571C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corresponde a</w:t>
      </w:r>
      <w:r w:rsidRPr="007571C4">
        <w:rPr>
          <w:rFonts w:ascii="Arial" w:eastAsia="Times New Roman" w:hAnsi="Arial" w:cs="Arial"/>
        </w:rPr>
        <w:t>l Comité de Transparencia confirm</w:t>
      </w:r>
      <w:r>
        <w:rPr>
          <w:rFonts w:ascii="Arial" w:eastAsia="Times New Roman" w:hAnsi="Arial" w:cs="Arial"/>
        </w:rPr>
        <w:t>ar</w:t>
      </w:r>
      <w:r w:rsidRPr="007571C4">
        <w:rPr>
          <w:rFonts w:ascii="Arial" w:eastAsia="Times New Roman" w:hAnsi="Arial" w:cs="Arial"/>
        </w:rPr>
        <w:t xml:space="preserve"> la declaratoria de </w:t>
      </w:r>
      <w:r>
        <w:rPr>
          <w:rFonts w:ascii="Arial" w:eastAsia="Times New Roman" w:hAnsi="Arial" w:cs="Arial"/>
        </w:rPr>
        <w:t>incompetencia para atender la solicitud de transparencia, puesto que no corresponde atenderla por razón que no se encuentra facultado el sujeto obligado para atender la naturaleza de la solicitud.</w:t>
      </w:r>
      <w:r w:rsidRPr="007571C4">
        <w:rPr>
          <w:rFonts w:ascii="Arial" w:eastAsia="Times New Roman" w:hAnsi="Arial" w:cs="Arial"/>
        </w:rPr>
        <w:t xml:space="preserve"> - - - - - </w:t>
      </w:r>
      <w:r>
        <w:rPr>
          <w:rFonts w:ascii="Arial" w:eastAsia="Times New Roman" w:hAnsi="Arial" w:cs="Arial"/>
        </w:rPr>
        <w:t xml:space="preserve">- - - - - - - - - - - - - - - - - - - </w:t>
      </w:r>
    </w:p>
    <w:p w14:paraId="5E33D197" w14:textId="77777777" w:rsidR="00E266B1" w:rsidRPr="007571C4" w:rsidRDefault="00E266B1" w:rsidP="00E266B1">
      <w:pPr>
        <w:spacing w:line="360" w:lineRule="auto"/>
        <w:jc w:val="both"/>
        <w:rPr>
          <w:rFonts w:ascii="Arial" w:eastAsia="Times New Roman" w:hAnsi="Arial" w:cs="Arial"/>
        </w:rPr>
      </w:pPr>
      <w:r w:rsidRPr="007571C4">
        <w:rPr>
          <w:rFonts w:ascii="Arial" w:eastAsia="Times New Roman" w:hAnsi="Arial" w:cs="Arial"/>
        </w:rPr>
        <w:t>Ahora bien, la resolución que emita el Comité de Transparencia que confirme la declaratoria de i</w:t>
      </w:r>
      <w:r>
        <w:rPr>
          <w:rFonts w:ascii="Arial" w:eastAsia="Times New Roman" w:hAnsi="Arial" w:cs="Arial"/>
        </w:rPr>
        <w:t>ncompetencia</w:t>
      </w:r>
      <w:r w:rsidRPr="007571C4">
        <w:rPr>
          <w:rFonts w:ascii="Arial" w:eastAsia="Times New Roman" w:hAnsi="Arial" w:cs="Arial"/>
        </w:rPr>
        <w:t xml:space="preserve"> contendrá los elementos mínimos que permitan al solicitante tener la certeza </w:t>
      </w:r>
      <w:r>
        <w:rPr>
          <w:rFonts w:ascii="Arial" w:eastAsia="Times New Roman" w:hAnsi="Arial" w:cs="Arial"/>
        </w:rPr>
        <w:t>que la unidad administrativa que realiza la declaratoria de incompetencia no cuenta con las facultades para atender la solicitud primigenia y por consiguiente no puede dar atención a la solicitud de información</w:t>
      </w:r>
      <w:r w:rsidRPr="007571C4">
        <w:rPr>
          <w:rFonts w:ascii="Arial" w:eastAsia="Times New Roman" w:hAnsi="Arial" w:cs="Arial"/>
        </w:rPr>
        <w:t xml:space="preserve">. - - - - - - - - - </w:t>
      </w:r>
    </w:p>
    <w:p w14:paraId="04FC648D" w14:textId="77777777" w:rsidR="00E266B1" w:rsidRDefault="00E266B1" w:rsidP="00E266B1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7571C4">
        <w:rPr>
          <w:rFonts w:ascii="Arial" w:eastAsia="Times New Roman" w:hAnsi="Arial" w:cs="Arial"/>
          <w:b/>
          <w:bCs/>
          <w:lang w:val="es-ES_tradnl"/>
        </w:rPr>
        <w:t xml:space="preserve">TERCERO. - </w:t>
      </w:r>
      <w:r w:rsidRPr="007571C4">
        <w:rPr>
          <w:rFonts w:ascii="Arial" w:eastAsia="Times New Roman" w:hAnsi="Arial" w:cs="Arial"/>
          <w:bCs/>
          <w:lang w:val="es-ES_tradnl"/>
        </w:rPr>
        <w:t xml:space="preserve">En cumplimiento al contenido de los artículos: 24 fracción X de la Ley General de Transparencia y Acceso a la Información Pública y 10 fracción VI de la Ley de Transparencia, Acceso a la Información Pública y Buen Gobierno del Estado de Oaxaca, el Órgano Garante como sujeto obligado deberá de </w:t>
      </w:r>
      <w:r w:rsidRPr="007571C4">
        <w:rPr>
          <w:rFonts w:ascii="Arial" w:eastAsia="Times New Roman" w:hAnsi="Arial" w:cs="Arial"/>
          <w:bCs/>
        </w:rPr>
        <w:t>cumplir con los acuerdos y resoluciones emitidas por Órgano Garante</w:t>
      </w:r>
      <w:r w:rsidRPr="007571C4">
        <w:rPr>
          <w:rFonts w:ascii="Arial" w:eastAsia="Calibri" w:hAnsi="Arial" w:cs="Arial"/>
        </w:rPr>
        <w:t xml:space="preserve"> </w:t>
      </w:r>
      <w:r w:rsidRPr="007571C4">
        <w:rPr>
          <w:rFonts w:ascii="Arial" w:eastAsia="Times New Roman" w:hAnsi="Arial" w:cs="Arial"/>
          <w:bCs/>
        </w:rPr>
        <w:t xml:space="preserve">de Acceso a la Información Pública, Transparencia, Protección de Datos Personales y Buen Gobierno del Estado de Oaxaca, en ejercicio de sus atribuciones constitucionales y legales. - - - </w:t>
      </w:r>
    </w:p>
    <w:p w14:paraId="61AA2EC4" w14:textId="1347EC94" w:rsidR="00E266B1" w:rsidRDefault="00E266B1" w:rsidP="00E266B1">
      <w:pPr>
        <w:spacing w:line="360" w:lineRule="auto"/>
        <w:jc w:val="both"/>
        <w:rPr>
          <w:rFonts w:ascii="Arial" w:eastAsia="Times New Roman" w:hAnsi="Arial" w:cs="Arial"/>
          <w:bCs/>
          <w:lang w:val="es-ES_tradnl"/>
        </w:rPr>
      </w:pPr>
      <w:r w:rsidRPr="007571C4">
        <w:rPr>
          <w:rFonts w:ascii="Arial" w:eastAsia="Times New Roman" w:hAnsi="Arial" w:cs="Arial"/>
          <w:b/>
          <w:bCs/>
        </w:rPr>
        <w:t>CUARTO.</w:t>
      </w:r>
      <w:r w:rsidRPr="007571C4">
        <w:rPr>
          <w:rFonts w:ascii="Arial" w:eastAsia="Times New Roman" w:hAnsi="Arial" w:cs="Arial"/>
          <w:bCs/>
        </w:rPr>
        <w:t xml:space="preserve">  </w:t>
      </w:r>
      <w:r>
        <w:rPr>
          <w:rFonts w:ascii="Arial" w:eastAsia="Times New Roman" w:hAnsi="Arial" w:cs="Arial"/>
          <w:bCs/>
        </w:rPr>
        <w:t xml:space="preserve">Que el Consejo General del </w:t>
      </w:r>
      <w:r w:rsidRPr="00F64BF9">
        <w:rPr>
          <w:rFonts w:ascii="Arial" w:eastAsia="Times New Roman" w:hAnsi="Arial" w:cs="Arial"/>
          <w:bCs/>
          <w:lang w:val="es-ES_tradnl"/>
        </w:rPr>
        <w:t>Órgano Garante de Acceso a la Información Pública, Transparencia, Protección de Datos Personales y Buen Gobierno del Estado de Oaxaca</w:t>
      </w:r>
      <w:r>
        <w:rPr>
          <w:rFonts w:ascii="Arial" w:eastAsia="Times New Roman" w:hAnsi="Arial" w:cs="Arial"/>
          <w:bCs/>
          <w:lang w:val="es-ES_tradnl"/>
        </w:rPr>
        <w:t xml:space="preserve">, emitió la resolución al recurso de revisión </w:t>
      </w:r>
      <w:r w:rsidR="00424E7A" w:rsidRPr="00424E7A">
        <w:rPr>
          <w:rFonts w:ascii="Arial" w:eastAsia="Times New Roman" w:hAnsi="Arial" w:cs="Arial"/>
          <w:bCs/>
        </w:rPr>
        <w:t>R.R.A.I.1048/2023/SICOM y su acumulado R.R.A.I.1053/2023/SICOM, mediante el cual se ordena a la Dirección de Tecnologías de Transparencia modificar la respuesta para que a través del Comité de Transparencia se declare la incompetencia de este Sujeto Obligado para dar atención a la</w:t>
      </w:r>
      <w:r w:rsidR="00424E7A">
        <w:rPr>
          <w:rFonts w:ascii="Arial" w:eastAsia="Times New Roman" w:hAnsi="Arial" w:cs="Arial"/>
          <w:bCs/>
        </w:rPr>
        <w:t>s</w:t>
      </w:r>
      <w:r w:rsidR="00424E7A" w:rsidRPr="00424E7A">
        <w:rPr>
          <w:rFonts w:ascii="Arial" w:eastAsia="Times New Roman" w:hAnsi="Arial" w:cs="Arial"/>
          <w:bCs/>
        </w:rPr>
        <w:t xml:space="preserve"> solicitud</w:t>
      </w:r>
      <w:r w:rsidR="00424E7A">
        <w:rPr>
          <w:rFonts w:ascii="Arial" w:eastAsia="Times New Roman" w:hAnsi="Arial" w:cs="Arial"/>
          <w:bCs/>
        </w:rPr>
        <w:t>es</w:t>
      </w:r>
      <w:r w:rsidR="00424E7A" w:rsidRPr="00424E7A">
        <w:rPr>
          <w:rFonts w:ascii="Arial" w:eastAsia="Times New Roman" w:hAnsi="Arial" w:cs="Arial"/>
          <w:bCs/>
        </w:rPr>
        <w:t xml:space="preserve"> de folio </w:t>
      </w:r>
      <w:r w:rsidRPr="00F64BF9">
        <w:rPr>
          <w:rFonts w:ascii="Arial" w:eastAsia="Times New Roman" w:hAnsi="Arial" w:cs="Arial"/>
          <w:b/>
          <w:bCs/>
          <w:lang w:val="es-ES_tradnl"/>
        </w:rPr>
        <w:t>20272852300041</w:t>
      </w:r>
      <w:r w:rsidR="00424E7A">
        <w:rPr>
          <w:rFonts w:ascii="Arial" w:eastAsia="Times New Roman" w:hAnsi="Arial" w:cs="Arial"/>
          <w:b/>
          <w:bCs/>
          <w:lang w:val="es-ES_tradnl"/>
        </w:rPr>
        <w:t xml:space="preserve">8 y </w:t>
      </w:r>
      <w:r w:rsidR="00424E7A" w:rsidRPr="00424E7A">
        <w:rPr>
          <w:rFonts w:ascii="Arial" w:eastAsia="Times New Roman" w:hAnsi="Arial" w:cs="Arial"/>
          <w:b/>
          <w:bCs/>
          <w:lang w:val="es-ES_tradnl"/>
        </w:rPr>
        <w:t>20272852300041</w:t>
      </w:r>
      <w:r w:rsidR="00424E7A">
        <w:rPr>
          <w:rFonts w:ascii="Arial" w:eastAsia="Times New Roman" w:hAnsi="Arial" w:cs="Arial"/>
          <w:b/>
          <w:bCs/>
          <w:lang w:val="es-ES_tradnl"/>
        </w:rPr>
        <w:t xml:space="preserve">7 </w:t>
      </w:r>
      <w:r w:rsidRPr="00F64BF9">
        <w:rPr>
          <w:rFonts w:ascii="Arial" w:eastAsia="Times New Roman" w:hAnsi="Arial" w:cs="Arial"/>
          <w:bCs/>
          <w:lang w:val="es-ES_tradnl"/>
        </w:rPr>
        <w:t>así como</w:t>
      </w:r>
      <w:r>
        <w:rPr>
          <w:rFonts w:ascii="Arial" w:eastAsia="Times New Roman" w:hAnsi="Arial" w:cs="Arial"/>
          <w:bCs/>
          <w:lang w:val="es-ES_tradnl"/>
        </w:rPr>
        <w:t xml:space="preserve"> también la resolución del recurso de revisión</w:t>
      </w:r>
      <w:r>
        <w:rPr>
          <w:rFonts w:ascii="Arial" w:eastAsia="Times New Roman" w:hAnsi="Arial" w:cs="Arial"/>
          <w:b/>
          <w:bCs/>
          <w:lang w:val="es-ES_tradnl"/>
        </w:rPr>
        <w:t xml:space="preserve"> </w:t>
      </w:r>
      <w:r w:rsidRPr="00F64BF9">
        <w:rPr>
          <w:rFonts w:ascii="Arial" w:eastAsia="Times New Roman" w:hAnsi="Arial" w:cs="Arial"/>
          <w:bCs/>
          <w:lang w:val="es-ES_tradnl"/>
        </w:rPr>
        <w:t>R.R.A.I.10</w:t>
      </w:r>
      <w:r w:rsidR="00424E7A">
        <w:rPr>
          <w:rFonts w:ascii="Arial" w:eastAsia="Times New Roman" w:hAnsi="Arial" w:cs="Arial"/>
          <w:bCs/>
          <w:lang w:val="es-ES_tradnl"/>
        </w:rPr>
        <w:t>47</w:t>
      </w:r>
      <w:r w:rsidRPr="00F64BF9">
        <w:rPr>
          <w:rFonts w:ascii="Arial" w:eastAsia="Times New Roman" w:hAnsi="Arial" w:cs="Arial"/>
          <w:bCs/>
          <w:lang w:val="es-ES_tradnl"/>
        </w:rPr>
        <w:t xml:space="preserve">/2023/SICOM mediante el cual se ordena a </w:t>
      </w:r>
      <w:r>
        <w:rPr>
          <w:rFonts w:ascii="Arial" w:eastAsia="Times New Roman" w:hAnsi="Arial" w:cs="Arial"/>
          <w:bCs/>
          <w:lang w:val="es-ES_tradnl"/>
        </w:rPr>
        <w:t xml:space="preserve">la </w:t>
      </w:r>
      <w:r w:rsidRPr="00F64BF9">
        <w:rPr>
          <w:rFonts w:ascii="Arial" w:eastAsia="Times New Roman" w:hAnsi="Arial" w:cs="Arial"/>
          <w:bCs/>
        </w:rPr>
        <w:t xml:space="preserve">Dirección de Tecnologías de Transparencia de este sujeto obligado  </w:t>
      </w:r>
      <w:r w:rsidRPr="00F64BF9">
        <w:rPr>
          <w:rFonts w:ascii="Arial" w:eastAsia="Times New Roman" w:hAnsi="Arial" w:cs="Arial"/>
          <w:bCs/>
          <w:lang w:val="es-ES_tradnl"/>
        </w:rPr>
        <w:t xml:space="preserve">modificar la respuesta para que a través del Comité de Transparencia se </w:t>
      </w:r>
      <w:r>
        <w:rPr>
          <w:rFonts w:ascii="Arial" w:eastAsia="Times New Roman" w:hAnsi="Arial" w:cs="Arial"/>
          <w:bCs/>
          <w:lang w:val="es-ES_tradnl"/>
        </w:rPr>
        <w:t xml:space="preserve">confirme la </w:t>
      </w:r>
      <w:r w:rsidRPr="00F64BF9">
        <w:rPr>
          <w:rFonts w:ascii="Arial" w:eastAsia="Times New Roman" w:hAnsi="Arial" w:cs="Arial"/>
          <w:bCs/>
          <w:lang w:val="es-ES_tradnl"/>
        </w:rPr>
        <w:t>declar</w:t>
      </w:r>
      <w:r>
        <w:rPr>
          <w:rFonts w:ascii="Arial" w:eastAsia="Times New Roman" w:hAnsi="Arial" w:cs="Arial"/>
          <w:bCs/>
          <w:lang w:val="es-ES_tradnl"/>
        </w:rPr>
        <w:t>ación de</w:t>
      </w:r>
      <w:r w:rsidRPr="00F64BF9">
        <w:rPr>
          <w:rFonts w:ascii="Arial" w:eastAsia="Times New Roman" w:hAnsi="Arial" w:cs="Arial"/>
          <w:bCs/>
          <w:lang w:val="es-ES_tradnl"/>
        </w:rPr>
        <w:t xml:space="preserve"> incompetencia para dar atención a la solicitud de folio </w:t>
      </w:r>
      <w:r w:rsidR="00424E7A" w:rsidRPr="00424E7A">
        <w:rPr>
          <w:rFonts w:ascii="Arial" w:eastAsia="Times New Roman" w:hAnsi="Arial" w:cs="Arial"/>
          <w:b/>
          <w:bCs/>
          <w:lang w:val="es-ES_tradnl"/>
        </w:rPr>
        <w:t>20272852300041</w:t>
      </w:r>
      <w:r w:rsidR="00424E7A">
        <w:rPr>
          <w:rFonts w:ascii="Arial" w:eastAsia="Times New Roman" w:hAnsi="Arial" w:cs="Arial"/>
          <w:b/>
          <w:bCs/>
          <w:lang w:val="es-ES_tradnl"/>
        </w:rPr>
        <w:t>6</w:t>
      </w:r>
      <w:r>
        <w:rPr>
          <w:rFonts w:ascii="Arial" w:eastAsia="Times New Roman" w:hAnsi="Arial" w:cs="Arial"/>
          <w:b/>
          <w:bCs/>
          <w:lang w:val="es-ES_tradnl"/>
        </w:rPr>
        <w:t xml:space="preserve">. </w:t>
      </w:r>
      <w:r w:rsidRPr="00F64BF9">
        <w:rPr>
          <w:rFonts w:ascii="Arial" w:eastAsia="Times New Roman" w:hAnsi="Arial" w:cs="Arial"/>
          <w:bCs/>
          <w:lang w:val="es-ES_tradnl"/>
        </w:rPr>
        <w:t xml:space="preserve">- - - - </w:t>
      </w:r>
    </w:p>
    <w:p w14:paraId="47F6CC8A" w14:textId="1F81EFB2" w:rsidR="00FB67BA" w:rsidRPr="002C3051" w:rsidRDefault="00811320" w:rsidP="002C3051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F64BF9">
        <w:rPr>
          <w:rFonts w:ascii="Arial" w:eastAsia="Times New Roman" w:hAnsi="Arial" w:cs="Arial"/>
          <w:b/>
          <w:bCs/>
          <w:lang w:val="es-ES_tradnl"/>
        </w:rPr>
        <w:t xml:space="preserve">QUINTO. </w:t>
      </w:r>
      <w:r>
        <w:rPr>
          <w:rFonts w:ascii="Arial" w:eastAsia="Times New Roman" w:hAnsi="Arial" w:cs="Arial"/>
          <w:b/>
          <w:bCs/>
          <w:lang w:val="es-ES_tradnl"/>
        </w:rPr>
        <w:t>–</w:t>
      </w:r>
      <w:r>
        <w:rPr>
          <w:rFonts w:ascii="Arial" w:eastAsia="Times New Roman" w:hAnsi="Arial" w:cs="Arial"/>
          <w:bCs/>
          <w:lang w:val="es-ES_tradnl"/>
        </w:rPr>
        <w:t xml:space="preserve"> Por consiguiente,</w:t>
      </w:r>
      <w:r w:rsidRPr="007571C4">
        <w:rPr>
          <w:rFonts w:ascii="Arial" w:eastAsia="Times New Roman" w:hAnsi="Arial" w:cs="Arial"/>
          <w:bCs/>
          <w:lang w:val="es-ES_tradnl"/>
        </w:rPr>
        <w:t xml:space="preserve"> con fecha </w:t>
      </w:r>
      <w:r w:rsidR="005A3701">
        <w:rPr>
          <w:rFonts w:ascii="Arial" w:eastAsia="Times New Roman" w:hAnsi="Arial" w:cs="Arial"/>
          <w:bCs/>
          <w:lang w:val="es-ES_tradnl"/>
        </w:rPr>
        <w:t>quince</w:t>
      </w:r>
      <w:r>
        <w:rPr>
          <w:rFonts w:ascii="Arial" w:eastAsia="Times New Roman" w:hAnsi="Arial" w:cs="Arial"/>
          <w:bCs/>
          <w:lang w:val="es-ES_tradnl"/>
        </w:rPr>
        <w:t xml:space="preserve"> de marzo</w:t>
      </w:r>
      <w:r w:rsidRPr="007571C4">
        <w:rPr>
          <w:rFonts w:ascii="Arial" w:eastAsia="Times New Roman" w:hAnsi="Arial" w:cs="Arial"/>
          <w:bCs/>
          <w:lang w:val="es-ES_tradnl"/>
        </w:rPr>
        <w:t xml:space="preserve"> del dos mil veinticuatro fue</w:t>
      </w:r>
      <w:r>
        <w:rPr>
          <w:rFonts w:ascii="Arial" w:eastAsia="Times New Roman" w:hAnsi="Arial" w:cs="Arial"/>
          <w:bCs/>
          <w:lang w:val="es-ES_tradnl"/>
        </w:rPr>
        <w:t>ron</w:t>
      </w:r>
      <w:r w:rsidRPr="007571C4">
        <w:rPr>
          <w:rFonts w:ascii="Arial" w:eastAsia="Times New Roman" w:hAnsi="Arial" w:cs="Arial"/>
          <w:bCs/>
          <w:lang w:val="es-ES_tradnl"/>
        </w:rPr>
        <w:t xml:space="preserve"> recibido</w:t>
      </w:r>
      <w:r>
        <w:rPr>
          <w:rFonts w:ascii="Arial" w:eastAsia="Times New Roman" w:hAnsi="Arial" w:cs="Arial"/>
          <w:bCs/>
          <w:lang w:val="es-ES_tradnl"/>
        </w:rPr>
        <w:t>s</w:t>
      </w:r>
      <w:r w:rsidRPr="007571C4">
        <w:rPr>
          <w:rFonts w:ascii="Arial" w:eastAsia="Times New Roman" w:hAnsi="Arial" w:cs="Arial"/>
          <w:bCs/>
          <w:lang w:val="es-ES_tradnl"/>
        </w:rPr>
        <w:t xml:space="preserve"> por este Órgano Colegiado </w:t>
      </w:r>
      <w:r>
        <w:rPr>
          <w:rFonts w:ascii="Arial" w:eastAsia="Times New Roman" w:hAnsi="Arial" w:cs="Arial"/>
          <w:bCs/>
          <w:lang w:val="es-ES_tradnl"/>
        </w:rPr>
        <w:t>los</w:t>
      </w:r>
      <w:r w:rsidRPr="007571C4">
        <w:rPr>
          <w:rFonts w:ascii="Arial" w:eastAsia="Times New Roman" w:hAnsi="Arial" w:cs="Arial"/>
          <w:bCs/>
          <w:lang w:val="es-ES_tradnl"/>
        </w:rPr>
        <w:t xml:space="preserve"> oficio</w:t>
      </w:r>
      <w:r>
        <w:rPr>
          <w:rFonts w:ascii="Arial" w:eastAsia="Times New Roman" w:hAnsi="Arial" w:cs="Arial"/>
          <w:bCs/>
          <w:lang w:val="es-ES_tradnl"/>
        </w:rPr>
        <w:t>s</w:t>
      </w:r>
      <w:r w:rsidRPr="007571C4">
        <w:rPr>
          <w:rFonts w:ascii="Arial" w:eastAsia="Times New Roman" w:hAnsi="Arial" w:cs="Arial"/>
          <w:bCs/>
          <w:lang w:val="es-ES_tradnl"/>
        </w:rPr>
        <w:t xml:space="preserve"> con número </w:t>
      </w:r>
      <w:r w:rsidRPr="00F64BF9">
        <w:rPr>
          <w:rFonts w:ascii="Arial" w:eastAsia="Times New Roman" w:hAnsi="Arial" w:cs="Arial"/>
          <w:bCs/>
        </w:rPr>
        <w:t>OGAIPO/DTT/0</w:t>
      </w:r>
      <w:r w:rsidR="005A3701">
        <w:rPr>
          <w:rFonts w:ascii="Arial" w:eastAsia="Times New Roman" w:hAnsi="Arial" w:cs="Arial"/>
          <w:bCs/>
        </w:rPr>
        <w:t>103</w:t>
      </w:r>
      <w:r w:rsidRPr="00F64BF9">
        <w:rPr>
          <w:rFonts w:ascii="Arial" w:eastAsia="Times New Roman" w:hAnsi="Arial" w:cs="Arial"/>
          <w:bCs/>
        </w:rPr>
        <w:t>/2024</w:t>
      </w:r>
      <w:r>
        <w:rPr>
          <w:rFonts w:ascii="Arial" w:eastAsia="Times New Roman" w:hAnsi="Arial" w:cs="Arial"/>
          <w:bCs/>
        </w:rPr>
        <w:t xml:space="preserve"> y </w:t>
      </w:r>
      <w:r w:rsidRPr="00F64BF9">
        <w:rPr>
          <w:rFonts w:ascii="Arial" w:eastAsia="Times New Roman" w:hAnsi="Arial" w:cs="Arial"/>
          <w:bCs/>
        </w:rPr>
        <w:t>OGAIPO/DTT/0</w:t>
      </w:r>
      <w:r w:rsidR="005A3701">
        <w:rPr>
          <w:rFonts w:ascii="Arial" w:eastAsia="Times New Roman" w:hAnsi="Arial" w:cs="Arial"/>
          <w:bCs/>
        </w:rPr>
        <w:t>106</w:t>
      </w:r>
      <w:r w:rsidRPr="00F64BF9">
        <w:rPr>
          <w:rFonts w:ascii="Arial" w:eastAsia="Times New Roman" w:hAnsi="Arial" w:cs="Arial"/>
          <w:bCs/>
        </w:rPr>
        <w:t>/2024</w:t>
      </w:r>
      <w:r w:rsidRPr="007571C4">
        <w:rPr>
          <w:rFonts w:ascii="Arial" w:eastAsia="Times New Roman" w:hAnsi="Arial" w:cs="Arial"/>
          <w:bCs/>
          <w:lang w:val="es-ES_tradnl"/>
        </w:rPr>
        <w:t>, signado</w:t>
      </w:r>
      <w:r>
        <w:rPr>
          <w:rFonts w:ascii="Arial" w:eastAsia="Times New Roman" w:hAnsi="Arial" w:cs="Arial"/>
          <w:bCs/>
          <w:lang w:val="es-ES_tradnl"/>
        </w:rPr>
        <w:t>s</w:t>
      </w:r>
      <w:r w:rsidRPr="007571C4">
        <w:rPr>
          <w:rFonts w:ascii="Arial" w:eastAsia="Times New Roman" w:hAnsi="Arial" w:cs="Arial"/>
          <w:bCs/>
          <w:lang w:val="es-ES_tradnl"/>
        </w:rPr>
        <w:t xml:space="preserve"> por </w:t>
      </w:r>
      <w:r>
        <w:rPr>
          <w:rFonts w:ascii="Arial" w:eastAsia="Times New Roman" w:hAnsi="Arial" w:cs="Arial"/>
          <w:bCs/>
          <w:lang w:val="es-ES_tradnl"/>
        </w:rPr>
        <w:t xml:space="preserve">el titular de la Dirección de Tecnologías de Transparencia </w:t>
      </w:r>
      <w:r w:rsidRPr="007571C4">
        <w:rPr>
          <w:rFonts w:ascii="Arial" w:eastAsia="Times New Roman" w:hAnsi="Arial" w:cs="Arial"/>
          <w:bCs/>
          <w:lang w:val="es-ES_tradnl"/>
        </w:rPr>
        <w:t>del Órgano</w:t>
      </w:r>
      <w:r w:rsidRPr="007571C4">
        <w:rPr>
          <w:rFonts w:ascii="Arial" w:eastAsia="Calibri" w:hAnsi="Arial" w:cs="Arial"/>
          <w:lang w:val="es-ES_tradnl"/>
        </w:rPr>
        <w:t xml:space="preserve"> Garante de Acceso a la </w:t>
      </w:r>
      <w:r w:rsidRPr="007571C4">
        <w:rPr>
          <w:rFonts w:ascii="Arial" w:eastAsia="Calibri" w:hAnsi="Arial" w:cs="Arial"/>
          <w:lang w:val="es-ES_tradnl"/>
        </w:rPr>
        <w:lastRenderedPageBreak/>
        <w:t>Información Pública, Transparencia, Protección de Datos Personales y Buen Gobierno del Estado de Oaxaca,</w:t>
      </w:r>
      <w:r w:rsidRPr="007571C4">
        <w:rPr>
          <w:rFonts w:ascii="Arial" w:eastAsia="Times New Roman" w:hAnsi="Arial" w:cs="Arial"/>
          <w:bCs/>
          <w:lang w:val="es-ES_tradnl"/>
        </w:rPr>
        <w:t xml:space="preserve"> mediante </w:t>
      </w:r>
      <w:r>
        <w:rPr>
          <w:rFonts w:ascii="Arial" w:eastAsia="Times New Roman" w:hAnsi="Arial" w:cs="Arial"/>
          <w:bCs/>
          <w:lang w:val="es-ES_tradnl"/>
        </w:rPr>
        <w:t>los cuales en cumplimiento a la determinación del Consejo General del Organismo Garante de Transparencia Local</w:t>
      </w:r>
      <w:r w:rsidRPr="007571C4">
        <w:rPr>
          <w:rFonts w:ascii="Arial" w:eastAsia="Times New Roman" w:hAnsi="Arial" w:cs="Arial"/>
          <w:bCs/>
          <w:lang w:val="es-ES_tradnl"/>
        </w:rPr>
        <w:t xml:space="preserve"> manifiesta </w:t>
      </w:r>
      <w:r>
        <w:rPr>
          <w:rFonts w:ascii="Arial" w:eastAsia="Times New Roman" w:hAnsi="Arial" w:cs="Arial"/>
          <w:bCs/>
          <w:lang w:val="es-ES_tradnl"/>
        </w:rPr>
        <w:t>lo siguiente:</w:t>
      </w:r>
      <w:r w:rsidRPr="00AC49B0">
        <w:rPr>
          <w:rFonts w:ascii="Arial" w:eastAsia="Times New Roman" w:hAnsi="Arial" w:cs="Arial"/>
          <w:bCs/>
          <w:lang w:val="es-ES_tradnl"/>
        </w:rPr>
        <w:t xml:space="preserve"> - - - - - </w:t>
      </w:r>
      <w:r>
        <w:rPr>
          <w:rFonts w:ascii="Arial" w:eastAsia="Times New Roman" w:hAnsi="Arial" w:cs="Arial"/>
          <w:bCs/>
          <w:lang w:val="es-ES_tradnl"/>
        </w:rPr>
        <w:t>- - - - - - - - - - - - - - - - - - - - - - - - - - - - - - - - - - - - - -</w:t>
      </w: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260"/>
        <w:gridCol w:w="1843"/>
      </w:tblGrid>
      <w:tr w:rsidR="00E266B1" w:rsidRPr="00E266B1" w14:paraId="5C990427" w14:textId="77777777" w:rsidTr="00E266B1">
        <w:tc>
          <w:tcPr>
            <w:tcW w:w="993" w:type="dxa"/>
            <w:shd w:val="clear" w:color="auto" w:fill="E7E6E6" w:themeFill="background2"/>
            <w:vAlign w:val="center"/>
          </w:tcPr>
          <w:p w14:paraId="6F19D7EC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07480757"/>
            <w:r w:rsidRPr="00E266B1">
              <w:rPr>
                <w:rFonts w:ascii="Arial" w:hAnsi="Arial" w:cs="Arial"/>
                <w:b/>
                <w:bCs/>
                <w:sz w:val="22"/>
                <w:szCs w:val="22"/>
              </w:rPr>
              <w:t>N.P.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D7D6D2D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bCs/>
                <w:sz w:val="22"/>
                <w:szCs w:val="22"/>
              </w:rPr>
              <w:t>SOLICITUD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FD22C3D" w14:textId="06755FD4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bCs/>
                <w:sz w:val="22"/>
                <w:szCs w:val="22"/>
              </w:rPr>
              <w:t>RESPUESTA DE LA DIRECCIÓN DE TECNOLOGÍAS DE TRANSPARENCIA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CF818A6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bCs/>
                <w:sz w:val="22"/>
                <w:szCs w:val="22"/>
              </w:rPr>
              <w:t>ESTADO / FECHA INICIO OFICIAL DEL PASO</w:t>
            </w:r>
          </w:p>
        </w:tc>
      </w:tr>
      <w:bookmarkEnd w:id="0"/>
      <w:tr w:rsidR="00E266B1" w:rsidRPr="00E266B1" w14:paraId="15B0F65A" w14:textId="77777777" w:rsidTr="00E266B1">
        <w:tc>
          <w:tcPr>
            <w:tcW w:w="993" w:type="dxa"/>
            <w:tcBorders>
              <w:bottom w:val="single" w:sz="4" w:space="0" w:color="auto"/>
            </w:tcBorders>
          </w:tcPr>
          <w:p w14:paraId="754140AE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5B3E5B" w14:textId="3C060EFE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Folio:    202728523000418</w:t>
            </w:r>
          </w:p>
          <w:p w14:paraId="3E741FAC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EFD192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Descripción de la solicitud de información:</w:t>
            </w:r>
          </w:p>
          <w:p w14:paraId="1647777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F47F4" w14:textId="17B09B35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solicito me proporcione en formato </w:t>
            </w:r>
            <w:proofErr w:type="spellStart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excel</w:t>
            </w:r>
            <w:proofErr w:type="spellEnd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</w:t>
            </w:r>
            <w:proofErr w:type="gramStart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obligado :caminos</w:t>
            </w:r>
            <w:proofErr w:type="gramEnd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bienestar</w:t>
            </w:r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”</w:t>
            </w:r>
          </w:p>
          <w:p w14:paraId="1B38442B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BE802" w14:textId="1149A53C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Archivo adjunto de la solicitud: ninguno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DD51A2F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En atención a lo dispuesto por los artículos 73 y 123,  de la Ley de Transparencia y Acceso a la Información Pública y Buen Gobierno para el Estado de Oaxaca; artículo 11 fracción XXIII y 17 fracción I del Reglamento Interno vigente del Órgano Garante de Acceso a la Información Pública, Transparencia, Protección de Datos Personales y Buen Gobierno del Estado de Oaxaca, así como al oficio OGAIPO/UT/0357/2024 remitido por la Unidad de Transparencia de fecha 6 de marzo del presente, donde solicita dar cumplimiento a la Resolución de expediente R.R.A.I. 1048/2023/SICOM y su acumulado R.R.A.I. 1053/2023/SICOM, mediante el cual se ordena a esta Dirección modificar la respuesta para que a través del Comité de Transparencia se declare la incompetencia de este Sujeto Obligado para dar atención a la solicitud de folio 202728523000418 que a la letra dice: “solicito me proporcione en formato </w:t>
            </w:r>
            <w:proofErr w:type="spellStart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  <w:proofErr w:type="spellEnd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obligado :caminos bienestar” y a la solicitud de folio 202728523000417 que a la letra dice: “solicito me proporcione en formato </w:t>
            </w:r>
            <w:proofErr w:type="spellStart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  <w:proofErr w:type="spellEnd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obligado :casa de la cultura oaxaqueña”</w:t>
            </w:r>
          </w:p>
          <w:p w14:paraId="235A7509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48ACC4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En respuesta a lo anterior, se informa que las funciones que contiene el Sistema de Portales de Obligaciones de Transparencia mencionadas en el artículo 28 de los Lineamientos para la Implementación y Operación de la Plataforma Nacional de Transparencia, menciona que desde el SIPOT se generan reportes estadísticos únicamente por el conjunto de sujetos obligados de una entidad, por sujeto obligado, formato y usuario, así mismo, dicha normatividad en su artículo 31 establece las responsabilidades del Administrador estatal en el SIPOT las cuales se enlistan a continuación:</w:t>
            </w:r>
          </w:p>
          <w:p w14:paraId="5F18B484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1. Heredar los formatos establecidos por los Lineamientos Técnicos Generales para adaptarlos a su normativa local, asegurándose de que se observen las especificaciones señaladas en los citados Lineamientos Técnicos Generales y se dé cumplimiento a los criterios de cada uno de los formatos que en dicha normativa se detallan.</w:t>
            </w:r>
          </w:p>
          <w:p w14:paraId="51D21993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2. Asignar a cada sujeto obligado los formatos heredados de la Ley General que le correspondan de conformidad con la tabla de aplicabilidad aprobada por su respectivo organismo garante.</w:t>
            </w:r>
          </w:p>
          <w:p w14:paraId="042BEC4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3. Generar y asignar a sus respectivos sujetos obligados los formatos derivados de lo dispuesto en la ley local en la materia.</w:t>
            </w:r>
          </w:p>
          <w:p w14:paraId="24142B66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4. Capacitar al personal de los sujetos obligados de la entidad federativa que le corresponde sobre la funcionalidad, las actualizaciones y los cambios en el SIPOT.</w:t>
            </w:r>
          </w:p>
          <w:p w14:paraId="34D1A619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5. Brindar acompañamiento a sus respectivos sujetos obligados sobre la asignación de formatos y la actividad de carga, descarga, actualización, borrado y eliminación de información, así como de cualquier otra asesoría respecto al SIPOT.</w:t>
            </w:r>
          </w:p>
          <w:p w14:paraId="69DDCFD7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6. Comunicar al Administrador general la necesidad de </w:t>
            </w: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realizar u operar algún cambio o precisión en las operaciones efectuadas en el SIPOT que no pueda resolver el Administrador estatal.</w:t>
            </w:r>
          </w:p>
          <w:p w14:paraId="7D7B653C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7. Informar al Administrador General aquellas incidencias que le sean reportadas por los sujetos obligados. </w:t>
            </w:r>
          </w:p>
          <w:p w14:paraId="01E7B1D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8. Generar los accesos correspondientes para usuarios en materia de verificación de obligaciones de transparencia con los roles verificador y responsable de evaluación.</w:t>
            </w:r>
          </w:p>
          <w:p w14:paraId="309E9FD5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9. Las demás que establece la Ley general y local en la materia.</w:t>
            </w:r>
          </w:p>
          <w:p w14:paraId="50668B97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9060F34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Ahora, el artículo 126 segundo párrafo de la Ley de Transparencia y Acceso a la Información Pública y Buen Gobierno para el Estado de Oaxaca, manifiesta que referente a la atención de una solicitud de requerimiento de información: “... La obligación no comprende el procesamiento de la misma, ni el presentarla conforme al interés de la o el solicitante.”</w:t>
            </w:r>
          </w:p>
          <w:p w14:paraId="4881EE3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9CBA41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En atención a los ordenamientos anteriores es que esta Dirección de Tecnologías de Transparencia informa que no cuenta con las facultades y responsabilidades como encargado de la administración estatal de la Plataforma Nacional de Transparencia el poder proporcionar la información que requiere y como la requiere la persona solicitante ahora recurrente.</w:t>
            </w:r>
          </w:p>
          <w:p w14:paraId="05890E85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D008E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9DACA4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FEC0B5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Atentamente </w:t>
            </w:r>
          </w:p>
          <w:p w14:paraId="4933C907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B3F353" w14:textId="440720B0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C. José Luis Vargas </w:t>
            </w:r>
          </w:p>
          <w:p w14:paraId="2C8A9291" w14:textId="7691F55E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Titular de la Dirección de Tecnologías de Transparencia</w:t>
            </w:r>
          </w:p>
        </w:tc>
        <w:tc>
          <w:tcPr>
            <w:tcW w:w="1843" w:type="dxa"/>
          </w:tcPr>
          <w:p w14:paraId="5B258F3A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sz w:val="22"/>
                <w:szCs w:val="22"/>
              </w:rPr>
              <w:lastRenderedPageBreak/>
              <w:t>Elaboración de respuesta final</w:t>
            </w:r>
          </w:p>
          <w:p w14:paraId="4AF49A02" w14:textId="78BD2271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20/03/2024</w:t>
            </w:r>
          </w:p>
          <w:p w14:paraId="24C514D2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BC8AD1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66B1" w:rsidRPr="00E266B1" w14:paraId="4A9ABB86" w14:textId="77777777" w:rsidTr="00E266B1">
        <w:tc>
          <w:tcPr>
            <w:tcW w:w="993" w:type="dxa"/>
            <w:tcBorders>
              <w:bottom w:val="single" w:sz="4" w:space="0" w:color="auto"/>
            </w:tcBorders>
          </w:tcPr>
          <w:p w14:paraId="6C99D1C7" w14:textId="3DA6F9F1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1B96C" w14:textId="1B8912F4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Folio:    202728523000417</w:t>
            </w:r>
          </w:p>
          <w:p w14:paraId="2F433E86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C26FCC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Descripción de la solicitud de información:</w:t>
            </w:r>
          </w:p>
          <w:p w14:paraId="5B47CC22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40E06" w14:textId="6493AE99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“</w:t>
            </w:r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solicito me proporcione en formato </w:t>
            </w:r>
            <w:proofErr w:type="spellStart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excel</w:t>
            </w:r>
            <w:proofErr w:type="spellEnd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obligado: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casa de la cultura oaxaqueña</w:t>
            </w:r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”</w:t>
            </w:r>
          </w:p>
          <w:p w14:paraId="3681F21C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1B1A2" w14:textId="3231E8F9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Archivo adjunto de la solicitud: ninguno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4C47C9B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En atención a lo dispuesto por los artículos 73 y 123,  de la Ley de Transparencia y Acceso a la Información Pública y Buen Gobierno para el Estado de Oaxaca; artículo 11 fracción XXIII y 17 fracción I del </w:t>
            </w: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Reglamento Interno vigente del Órgano Garante de Acceso a la Información Pública, Transparencia, Protección de Datos Personales y Buen Gobierno del Estado de Oaxaca, así como al oficio OGAIPO/UT/0357/2024 remitido por la Unidad de Transparencia de fecha 6 de marzo del presente, donde solicita dar cumplimiento a la Resolución de expediente R.R.A.I. 1048/2023/SICOM y su acumulado R.R.A.I. 1053/2023/SICOM, mediante el cual se ordena a esta Dirección modificar la respuesta para que a través del Comité de Transparencia se declare la incompetencia de este Sujeto Obligado para dar atención a la solicitud de folio 202728523000418 que a la letra dice: “solicito me proporcione en formato </w:t>
            </w:r>
            <w:proofErr w:type="spellStart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  <w:proofErr w:type="spellEnd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obligado :caminos bienestar” y a la solicitud de folio 202728523000417 que a la letra dice: “solicito me proporcione en formato </w:t>
            </w:r>
            <w:proofErr w:type="spellStart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  <w:proofErr w:type="spellEnd"/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obligado :casa de la cultura oaxaqueña”</w:t>
            </w:r>
          </w:p>
          <w:p w14:paraId="70ED0A6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B588FB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En respuesta a lo anterior, se informa que las funciones que contiene el Sistema de Portales de Obligaciones de Transparencia mencionadas en el artículo 28 de los Lineamientos para la Implementación y Operación de la Plataforma Nacional de Transparencia, menciona que desde el SIPOT se generan reportes estadísticos únicamente por el conjunto de sujetos obligados de una entidad, por sujeto obligado, formato y usuario, así mismo, dicha normatividad en su </w:t>
            </w: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artículo 31 establece las responsabilidades del Administrador estatal en el SIPOT las cuales se enlistan a continuación:</w:t>
            </w:r>
          </w:p>
          <w:p w14:paraId="5F54E46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1. Heredar los formatos establecidos por los Lineamientos Técnicos Generales para adaptarlos a su normativa local, asegurándose de que se observen las especificaciones señaladas en los citados Lineamientos Técnicos Generales y se dé cumplimiento a los criterios de cada uno de los formatos que en dicha normativa se detallan.</w:t>
            </w:r>
          </w:p>
          <w:p w14:paraId="56CBB18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2. Asignar a cada sujeto obligado los formatos heredados de la Ley General que le correspondan de conformidad con la tabla de aplicabilidad aprobada por su respectivo organismo garante.</w:t>
            </w:r>
          </w:p>
          <w:p w14:paraId="5F66DEB6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3. Generar y asignar a sus respectivos sujetos obligados los formatos derivados de lo dispuesto en la ley local en la materia.</w:t>
            </w:r>
          </w:p>
          <w:p w14:paraId="087AD552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4. Capacitar al personal de los sujetos obligados de la entidad federativa que le corresponde sobre la funcionalidad, las actualizaciones y los cambios en el SIPOT.</w:t>
            </w:r>
          </w:p>
          <w:p w14:paraId="6B565F29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5. Brindar acompañamiento a sus respectivos sujetos obligados sobre la asignación de formatos y la actividad de carga, descarga, actualización, borrado y eliminación de información, así como de cualquier otra asesoría respecto al SIPOT.</w:t>
            </w:r>
          </w:p>
          <w:p w14:paraId="6B8DA6D2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6. Comunicar al Administrador general la necesidad de realizar u operar algún cambio o precisión en las operaciones efectuadas en el SIPOT que no pueda resolver el Administrador estatal.</w:t>
            </w:r>
          </w:p>
          <w:p w14:paraId="3445BB1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7. Informar al Administrador General aquellas incidencias que le sean reportadas por los sujetos obligados. </w:t>
            </w:r>
          </w:p>
          <w:p w14:paraId="7227B52D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8. Generar los accesos correspondientes para usuarios en materia de verificación de obligaciones de transparencia con los roles verificador y responsable de evaluación.</w:t>
            </w:r>
          </w:p>
          <w:p w14:paraId="785E6C4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9. Las demás que establece la Ley general y local en la materia.</w:t>
            </w:r>
          </w:p>
          <w:p w14:paraId="596D574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2BA3D7F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Ahora, el artículo 126 segundo párrafo de la Ley de Transparencia y Acceso a la Información Pública y Buen Gobierno para el Estado de Oaxaca, manifiesta que referente a la atención de una solicitud de requerimiento de información: “... La obligación no comprende el procesamiento de la misma, ni el presentarla conforme al interés de la o el solicitante.”</w:t>
            </w:r>
          </w:p>
          <w:p w14:paraId="4DD610E5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530047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En atención a los ordenamientos anteriores es que esta Dirección de Tecnologías de Transparencia informa que no cuenta con las facultades y responsabilidades como encargado de la administración estatal de la Plataforma Nacional de Transparencia el poder proporcionar la información que requiere y como la requiere la persona solicitante ahora recurrente.</w:t>
            </w:r>
          </w:p>
          <w:p w14:paraId="133E6A87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898280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6050F4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0E5C0F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Atentamente </w:t>
            </w:r>
          </w:p>
          <w:p w14:paraId="15EE86DD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B896D6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C. José Luis Vargas </w:t>
            </w:r>
          </w:p>
          <w:p w14:paraId="15D874E3" w14:textId="167F85AF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Titular de la Dirección de Tecnologías de Transparencia</w:t>
            </w:r>
          </w:p>
        </w:tc>
        <w:tc>
          <w:tcPr>
            <w:tcW w:w="1843" w:type="dxa"/>
          </w:tcPr>
          <w:p w14:paraId="1A005686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sz w:val="22"/>
                <w:szCs w:val="22"/>
              </w:rPr>
              <w:lastRenderedPageBreak/>
              <w:t>Elaboración de respuesta final</w:t>
            </w:r>
          </w:p>
          <w:p w14:paraId="1A0423AE" w14:textId="7328901E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20/03/2024</w:t>
            </w:r>
          </w:p>
          <w:p w14:paraId="2BD98B40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08E48F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66B1" w:rsidRPr="00E266B1" w14:paraId="2DFAE11A" w14:textId="77777777" w:rsidTr="00E266B1">
        <w:tc>
          <w:tcPr>
            <w:tcW w:w="993" w:type="dxa"/>
            <w:tcBorders>
              <w:bottom w:val="single" w:sz="4" w:space="0" w:color="auto"/>
            </w:tcBorders>
          </w:tcPr>
          <w:p w14:paraId="797229C6" w14:textId="4ED91A6E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1ADCF0" w14:textId="642A6B63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Folio:    202728523000416</w:t>
            </w:r>
          </w:p>
          <w:p w14:paraId="209A9791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547E0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Descripción de la solicitud de información:</w:t>
            </w:r>
          </w:p>
          <w:p w14:paraId="76935109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F1CDEA" w14:textId="5E1D93D9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solicito me proporcione en formato </w:t>
            </w:r>
            <w:proofErr w:type="spellStart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excel</w:t>
            </w:r>
            <w:proofErr w:type="spellEnd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fecha y hora de carga de los formatos de la carga de obligaciones de transparencia de la ley local y general correspondiente al tercer trimestre del año 2023 del sujeto </w:t>
            </w:r>
            <w:proofErr w:type="gramStart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obligado :instituto</w:t>
            </w:r>
            <w:proofErr w:type="gramEnd"/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estatal de educación pública de Oaxaca</w:t>
            </w:r>
            <w:r w:rsidRPr="00E266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”.</w:t>
            </w:r>
          </w:p>
          <w:p w14:paraId="5E33277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B97F27" w14:textId="09756B45" w:rsidR="00E266B1" w:rsidRPr="00E266B1" w:rsidRDefault="00E266B1" w:rsidP="00E2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Archivo adjunto de la solicitud: ninguno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E4C116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En respuesta a lo anterior, se informa que las funciones que contiene el Sistema de Portales de Obligaciones de Transparencia mencionadas en el artículo 28 de los Lineamientos para la Implementación y Operación de la Plataforma Nacional de Transparencia, menciona que desde el SIPOT se generan reportes estadísticos únicamente por el conjunto de sujetos obligados de una entidad, por sujeto obligado, formato y usuario, así mismo, dicha normatividad en su artículo 31 establece las responsabilidades del Administrador estatal en el SIPOT las cuales se enlistan a continuación:</w:t>
            </w:r>
          </w:p>
          <w:p w14:paraId="5CD04082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 Heredar los formatos establecidos por los Lineamientos Técnicos Generales para adaptarlos a su normativa local, asegurándose de que se observen las especificaciones señaladas en los citados Lineamientos Técnicos Generales y se dé cumplimiento a los criterios de cada uno de los formatos que en dicha normativa se detallan.</w:t>
            </w:r>
          </w:p>
          <w:p w14:paraId="3C479B0F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2. Asignar a cada sujeto obligado los formatos heredados de la Ley General que le correspondan de conformidad con la tabla de aplicabilidad aprobada por su respectivo organismo garante.</w:t>
            </w:r>
          </w:p>
          <w:p w14:paraId="22147481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3. Generar y asignar a sus respectivos sujetos obligados los formatos derivados de lo dispuesto en la ley local en la materia.</w:t>
            </w:r>
          </w:p>
          <w:p w14:paraId="05C63B7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4. Capacitar al personal de los sujetos obligados de la entidad federativa que le corresponde sobre la funcionalidad, las actualizaciones y los cambios en el SIPOT.</w:t>
            </w:r>
          </w:p>
          <w:p w14:paraId="20E47D2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5. Brindar acompañamiento a sus respectivos sujetos obligados sobre la asignación de formatos y la actividad de carga, descarga, actualización, borrado y eliminación de información, así como de cualquier otra asesoría respecto al SIPOT.</w:t>
            </w:r>
          </w:p>
          <w:p w14:paraId="78A2261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6. Comunicar al Administrador general la necesidad de realizar u operar algún cambio o precisión en las operaciones efectuadas en el SIPOT que no pueda resolver el Administrador estatal.</w:t>
            </w:r>
          </w:p>
          <w:p w14:paraId="7F9C5A41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7. Informar al Administrador General aquellas incidencias que le sean reportadas por los sujetos obligados. </w:t>
            </w:r>
          </w:p>
          <w:p w14:paraId="2C3F736A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8. Generar los accesos correspondientes para usuarios en materia de verificación de obligaciones de transparencia con los roles verificador y responsable de evaluación.</w:t>
            </w:r>
          </w:p>
          <w:p w14:paraId="193B707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9. Las demás que establece la Ley general y local en la materia.</w:t>
            </w:r>
          </w:p>
          <w:p w14:paraId="18565F99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49E264E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Ahora, el artículo 126 segundo párrafo de la Ley de </w:t>
            </w: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Transparencia y Acceso a la Información Pública y Buen Gobierno para el Estado de Oaxaca, manifiesta que referente a la atención de una solicitud de requerimiento de información: “... La obligación no comprende el procesamiento de la misma, ni el presentarla conforme al interés de la o el solicitante.”</w:t>
            </w:r>
          </w:p>
          <w:p w14:paraId="0230613F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0F5860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En atención a los ordenamientos anteriores es que esta Dirección de Tecnologías de Transparencia informa que no cuenta con las facultades y responsabilidades como encargado de la administración estatal de la Plataforma Nacional de Transparencia el poder proporcionar la información que requiere y como la requiere la persona solicitante ahora recurrente.</w:t>
            </w:r>
          </w:p>
          <w:p w14:paraId="74ED45DB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9998C8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Atentamente </w:t>
            </w:r>
          </w:p>
          <w:p w14:paraId="0F870A0D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993C96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 xml:space="preserve">C. José Luis Vargas </w:t>
            </w:r>
          </w:p>
          <w:p w14:paraId="3B39B9CC" w14:textId="73B6123E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6B1">
              <w:rPr>
                <w:rFonts w:ascii="Arial" w:hAnsi="Arial" w:cs="Arial"/>
                <w:color w:val="000000"/>
                <w:sz w:val="22"/>
                <w:szCs w:val="22"/>
              </w:rPr>
              <w:t>Titular de la Dirección de Tecnologías de Transparencia</w:t>
            </w:r>
          </w:p>
          <w:p w14:paraId="064FB624" w14:textId="77777777" w:rsidR="00E266B1" w:rsidRPr="00E266B1" w:rsidRDefault="00E266B1" w:rsidP="00E2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E34040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66B1">
              <w:rPr>
                <w:rFonts w:ascii="Arial" w:hAnsi="Arial" w:cs="Arial"/>
                <w:b/>
                <w:sz w:val="22"/>
                <w:szCs w:val="22"/>
              </w:rPr>
              <w:lastRenderedPageBreak/>
              <w:t>Elaboración de respuesta final</w:t>
            </w:r>
          </w:p>
          <w:p w14:paraId="5424B06A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6B1">
              <w:rPr>
                <w:rFonts w:ascii="Arial" w:hAnsi="Arial" w:cs="Arial"/>
                <w:sz w:val="22"/>
                <w:szCs w:val="22"/>
              </w:rPr>
              <w:t>20/03/2024</w:t>
            </w:r>
          </w:p>
          <w:p w14:paraId="1E90B232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B34AE" w14:textId="77777777" w:rsidR="00E266B1" w:rsidRPr="00E266B1" w:rsidRDefault="00E266B1" w:rsidP="00E266B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0ACC1C" w14:textId="77777777" w:rsidR="002C3051" w:rsidRDefault="002C3051" w:rsidP="00FB67BA">
      <w:pPr>
        <w:spacing w:line="360" w:lineRule="auto"/>
        <w:jc w:val="both"/>
        <w:rPr>
          <w:rFonts w:ascii="Arial" w:eastAsia="Times New Roman" w:hAnsi="Arial" w:cs="Arial"/>
        </w:rPr>
      </w:pPr>
    </w:p>
    <w:p w14:paraId="7D0734E3" w14:textId="6B984013" w:rsidR="00FB67BA" w:rsidRDefault="002C3051" w:rsidP="002C3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b/>
          <w:bCs/>
          <w:lang w:val="es-ES_tradnl"/>
        </w:rPr>
        <w:t>SEXTO</w:t>
      </w:r>
      <w:r w:rsidRPr="00431B89">
        <w:rPr>
          <w:rFonts w:ascii="Arial" w:eastAsia="Times New Roman" w:hAnsi="Arial" w:cs="Arial"/>
          <w:lang w:val="es-ES_tradnl"/>
        </w:rPr>
        <w:t xml:space="preserve">. </w:t>
      </w:r>
      <w:r>
        <w:rPr>
          <w:rFonts w:ascii="Arial" w:eastAsia="Times New Roman" w:hAnsi="Arial" w:cs="Arial"/>
          <w:lang w:val="es-ES_tradnl"/>
        </w:rPr>
        <w:t>–</w:t>
      </w:r>
      <w:r w:rsidRPr="00431B89">
        <w:rPr>
          <w:rFonts w:ascii="Arial" w:eastAsia="Times New Roman" w:hAnsi="Arial" w:cs="Arial"/>
          <w:lang w:val="es-ES_tradnl"/>
        </w:rPr>
        <w:t xml:space="preserve"> </w:t>
      </w:r>
      <w:r>
        <w:rPr>
          <w:rFonts w:ascii="Arial" w:eastAsia="Times New Roman" w:hAnsi="Arial" w:cs="Arial"/>
          <w:lang w:val="es-ES_tradnl"/>
        </w:rPr>
        <w:t>En atención a las manifestaciones expuestas por la unidad administrativa, es que e</w:t>
      </w:r>
      <w:r w:rsidRPr="00431B89">
        <w:rPr>
          <w:rFonts w:ascii="Arial" w:eastAsia="Times New Roman" w:hAnsi="Arial" w:cs="Arial"/>
          <w:lang w:val="es-ES_tradnl"/>
        </w:rPr>
        <w:t>l Comité de</w:t>
      </w:r>
      <w:r w:rsidRPr="007571C4">
        <w:rPr>
          <w:rFonts w:ascii="Arial" w:eastAsia="Times New Roman" w:hAnsi="Arial" w:cs="Arial"/>
          <w:lang w:val="es-ES_tradnl"/>
        </w:rPr>
        <w:t xml:space="preserve"> Transparencia del Órgano Garante de Acceso a la Información Pública, Transparencia, Protección de Datos Personales y Buen Gobierno del Estado de Oaxaca, </w:t>
      </w:r>
      <w:r>
        <w:rPr>
          <w:rFonts w:ascii="Arial" w:eastAsia="Times New Roman" w:hAnsi="Arial" w:cs="Arial"/>
          <w:lang w:val="es-ES_tradnl"/>
        </w:rPr>
        <w:t>realizó él</w:t>
      </w:r>
      <w:r w:rsidRPr="007571C4">
        <w:rPr>
          <w:rFonts w:ascii="Arial" w:eastAsia="Times New Roman" w:hAnsi="Arial" w:cs="Arial"/>
          <w:lang w:val="es-ES_tradnl"/>
        </w:rPr>
        <w:t xml:space="preserve"> </w:t>
      </w:r>
      <w:r>
        <w:rPr>
          <w:rFonts w:ascii="Arial" w:eastAsia="Times New Roman" w:hAnsi="Arial" w:cs="Arial"/>
          <w:lang w:val="es-ES_tradnl"/>
        </w:rPr>
        <w:t>estudió de la declaración de incompetencia</w:t>
      </w:r>
      <w:r w:rsidRPr="007571C4">
        <w:rPr>
          <w:rFonts w:ascii="Arial" w:eastAsia="Times New Roman" w:hAnsi="Arial" w:cs="Arial"/>
          <w:lang w:val="es-ES_tradnl"/>
        </w:rPr>
        <w:t xml:space="preserve"> realizada</w:t>
      </w:r>
      <w:r>
        <w:rPr>
          <w:rFonts w:ascii="Arial" w:eastAsia="Times New Roman" w:hAnsi="Arial" w:cs="Arial"/>
          <w:lang w:val="es-ES_tradnl"/>
        </w:rPr>
        <w:t xml:space="preserve"> </w:t>
      </w:r>
      <w:r w:rsidRPr="007571C4">
        <w:rPr>
          <w:rFonts w:ascii="Arial" w:eastAsia="Times New Roman" w:hAnsi="Arial" w:cs="Arial"/>
          <w:lang w:val="es-ES_tradnl"/>
        </w:rPr>
        <w:t xml:space="preserve">por la </w:t>
      </w:r>
      <w:r>
        <w:rPr>
          <w:rFonts w:ascii="Arial" w:eastAsia="Times New Roman" w:hAnsi="Arial" w:cs="Arial"/>
          <w:lang w:val="es-ES_tradnl"/>
        </w:rPr>
        <w:t xml:space="preserve">Dirección de Tecnologías de Transparencia </w:t>
      </w:r>
      <w:r w:rsidRPr="007571C4">
        <w:rPr>
          <w:rFonts w:ascii="Arial" w:eastAsia="Times New Roman" w:hAnsi="Arial" w:cs="Arial"/>
          <w:lang w:val="es-ES_tradnl"/>
        </w:rPr>
        <w:t xml:space="preserve">del Órgano Garante de Acceso a la Información Pública, Transparencia, Protección de Datos Personales y Buen Gobierno del Estado de Oaxaca, </w:t>
      </w:r>
      <w:r>
        <w:rPr>
          <w:rFonts w:ascii="Arial" w:eastAsia="Times New Roman" w:hAnsi="Arial" w:cs="Arial"/>
          <w:lang w:val="es-ES_tradnl"/>
        </w:rPr>
        <w:t>por tanto</w:t>
      </w:r>
      <w:r w:rsidRPr="007571C4">
        <w:rPr>
          <w:rFonts w:ascii="Arial" w:eastAsia="Times New Roman" w:hAnsi="Arial" w:cs="Arial"/>
          <w:lang w:val="es-ES_tradnl"/>
        </w:rPr>
        <w:t xml:space="preserve"> con fundamento en el artículo </w:t>
      </w:r>
      <w:r>
        <w:rPr>
          <w:rFonts w:ascii="Arial" w:eastAsia="Times New Roman" w:hAnsi="Arial" w:cs="Arial"/>
          <w:lang w:val="es-ES_tradnl"/>
        </w:rPr>
        <w:t>44</w:t>
      </w:r>
      <w:r w:rsidRPr="007571C4">
        <w:rPr>
          <w:rFonts w:ascii="Arial" w:eastAsia="Times New Roman" w:hAnsi="Arial" w:cs="Arial"/>
          <w:lang w:val="es-ES_tradnl"/>
        </w:rPr>
        <w:t xml:space="preserve"> fracción I</w:t>
      </w:r>
      <w:r>
        <w:rPr>
          <w:rFonts w:ascii="Arial" w:eastAsia="Times New Roman" w:hAnsi="Arial" w:cs="Arial"/>
          <w:lang w:val="es-ES_tradnl"/>
        </w:rPr>
        <w:t>I</w:t>
      </w:r>
      <w:r w:rsidRPr="007571C4">
        <w:rPr>
          <w:rFonts w:ascii="Arial" w:eastAsia="Times New Roman" w:hAnsi="Arial" w:cs="Arial"/>
          <w:lang w:val="es-ES_tradnl"/>
        </w:rPr>
        <w:t xml:space="preserve"> de la Ley General de Transparencia y Acceso a la Información Pública, así como del artículo </w:t>
      </w:r>
      <w:r>
        <w:rPr>
          <w:rFonts w:ascii="Arial" w:eastAsia="Times New Roman" w:hAnsi="Arial" w:cs="Arial"/>
          <w:lang w:val="es-ES_tradnl"/>
        </w:rPr>
        <w:t>73</w:t>
      </w:r>
      <w:r w:rsidRPr="007571C4">
        <w:rPr>
          <w:rFonts w:ascii="Arial" w:eastAsia="Times New Roman" w:hAnsi="Arial" w:cs="Arial"/>
          <w:lang w:val="es-ES_tradnl"/>
        </w:rPr>
        <w:t xml:space="preserve"> fracción I</w:t>
      </w:r>
      <w:r>
        <w:rPr>
          <w:rFonts w:ascii="Arial" w:eastAsia="Times New Roman" w:hAnsi="Arial" w:cs="Arial"/>
          <w:lang w:val="es-ES_tradnl"/>
        </w:rPr>
        <w:t>I</w:t>
      </w:r>
      <w:r w:rsidRPr="007571C4">
        <w:rPr>
          <w:rFonts w:ascii="Arial" w:eastAsia="Times New Roman" w:hAnsi="Arial" w:cs="Arial"/>
          <w:lang w:val="es-ES_tradnl"/>
        </w:rPr>
        <w:t xml:space="preserve"> de la Ley de Transparencia, Acceso a la Información Pública del Estado de Oaxaca,</w:t>
      </w:r>
      <w:r>
        <w:rPr>
          <w:rFonts w:ascii="Arial" w:eastAsia="Times New Roman" w:hAnsi="Arial" w:cs="Arial"/>
          <w:lang w:val="es-ES_tradnl"/>
        </w:rPr>
        <w:t xml:space="preserve"> </w:t>
      </w:r>
      <w:r w:rsidRPr="007571C4">
        <w:rPr>
          <w:rFonts w:ascii="Arial" w:eastAsia="Times New Roman" w:hAnsi="Arial" w:cs="Arial"/>
          <w:lang w:val="es-ES_tradnl"/>
        </w:rPr>
        <w:t xml:space="preserve">es que el Comité de Transparencia del </w:t>
      </w:r>
      <w:r w:rsidRPr="007571C4">
        <w:rPr>
          <w:rFonts w:ascii="Arial" w:eastAsia="Calibri" w:hAnsi="Arial" w:cs="Arial"/>
        </w:rPr>
        <w:t>Órgano Garante de Acceso a la Información Pública, Transparencia, Protección de Datos Personales y Buen Gobierno del Estado de Oaxaca</w:t>
      </w:r>
      <w:r w:rsidRPr="007571C4">
        <w:rPr>
          <w:rFonts w:ascii="Arial" w:eastAsia="Times New Roman" w:hAnsi="Arial" w:cs="Arial"/>
          <w:lang w:val="es-ES_tradnl"/>
        </w:rPr>
        <w:t xml:space="preserve">, determina </w:t>
      </w:r>
      <w:r>
        <w:rPr>
          <w:rFonts w:ascii="Arial" w:eastAsia="Times New Roman" w:hAnsi="Arial" w:cs="Arial"/>
          <w:lang w:val="es-ES_tradnl"/>
        </w:rPr>
        <w:t>el</w:t>
      </w:r>
      <w:r w:rsidRPr="007571C4">
        <w:rPr>
          <w:rFonts w:ascii="Arial" w:eastAsia="Times New Roman" w:hAnsi="Arial" w:cs="Arial"/>
          <w:lang w:val="es-ES_tradnl"/>
        </w:rPr>
        <w:t xml:space="preserve"> siguiente: - - - - -</w:t>
      </w:r>
    </w:p>
    <w:p w14:paraId="31DED6EC" w14:textId="77777777" w:rsidR="002C3051" w:rsidRPr="000333F6" w:rsidRDefault="002C3051" w:rsidP="002C3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884E992" w14:textId="399B314F" w:rsidR="00FB67BA" w:rsidRDefault="00FB67BA" w:rsidP="00FB67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  <w:bCs/>
        </w:rPr>
        <w:t>A</w:t>
      </w:r>
      <w:r w:rsidR="002C3051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C</w:t>
      </w:r>
      <w:r w:rsidR="002C3051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U</w:t>
      </w:r>
      <w:r w:rsidR="002C3051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E</w:t>
      </w:r>
      <w:r w:rsidR="002C3051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R</w:t>
      </w:r>
      <w:r w:rsidR="002C3051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D</w:t>
      </w:r>
      <w:r w:rsidR="002C3051">
        <w:rPr>
          <w:rFonts w:ascii="Arial" w:hAnsi="Arial" w:cs="Arial"/>
          <w:b/>
          <w:bCs/>
        </w:rPr>
        <w:t xml:space="preserve"> </w:t>
      </w:r>
      <w:r w:rsidRPr="000333F6">
        <w:rPr>
          <w:rFonts w:ascii="Arial" w:hAnsi="Arial" w:cs="Arial"/>
          <w:b/>
          <w:bCs/>
        </w:rPr>
        <w:t>O:</w:t>
      </w:r>
    </w:p>
    <w:p w14:paraId="74995279" w14:textId="77777777" w:rsidR="005A3701" w:rsidRDefault="005A3701" w:rsidP="00FB67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bookmarkStart w:id="1" w:name="_Hlk121302008"/>
      <w:bookmarkStart w:id="2" w:name="_Hlk125447594"/>
    </w:p>
    <w:p w14:paraId="1894620A" w14:textId="66F68AF3" w:rsidR="001126E9" w:rsidRDefault="00FB67BA" w:rsidP="005A370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333F6">
        <w:rPr>
          <w:rFonts w:ascii="Arial" w:hAnsi="Arial" w:cs="Arial"/>
          <w:b/>
        </w:rPr>
        <w:t>PRIMERO:</w:t>
      </w:r>
      <w:r w:rsidRPr="000333F6">
        <w:rPr>
          <w:rFonts w:ascii="Arial" w:hAnsi="Arial" w:cs="Arial"/>
        </w:rPr>
        <w:t xml:space="preserve"> </w:t>
      </w:r>
      <w:r w:rsidR="005A3701">
        <w:rPr>
          <w:rFonts w:ascii="Arial" w:hAnsi="Arial" w:cs="Arial"/>
        </w:rPr>
        <w:t xml:space="preserve">Las y </w:t>
      </w:r>
      <w:r w:rsidR="005A3701" w:rsidRPr="000333F6">
        <w:rPr>
          <w:rFonts w:ascii="Arial" w:hAnsi="Arial" w:cs="Arial"/>
        </w:rPr>
        <w:t>los integrantes del Comité de Transparencia d</w:t>
      </w:r>
      <w:r w:rsidR="005A3701">
        <w:rPr>
          <w:rFonts w:ascii="Arial" w:hAnsi="Arial" w:cs="Arial"/>
        </w:rPr>
        <w:t>e este sujeto obligado</w:t>
      </w:r>
      <w:r w:rsidR="005A3701" w:rsidRPr="000333F6">
        <w:rPr>
          <w:rFonts w:ascii="Arial" w:hAnsi="Arial" w:cs="Arial"/>
        </w:rPr>
        <w:t xml:space="preserve">, </w:t>
      </w:r>
      <w:r w:rsidR="005A3701" w:rsidRPr="000333F6">
        <w:rPr>
          <w:rFonts w:ascii="Arial" w:hAnsi="Arial" w:cs="Arial"/>
          <w:b/>
          <w:bCs/>
        </w:rPr>
        <w:t>CONFIRMAN</w:t>
      </w:r>
      <w:r w:rsidR="005A3701" w:rsidRPr="000333F6">
        <w:rPr>
          <w:rFonts w:ascii="Arial" w:hAnsi="Arial" w:cs="Arial"/>
        </w:rPr>
        <w:t xml:space="preserve"> la</w:t>
      </w:r>
      <w:r w:rsidR="005A3701">
        <w:rPr>
          <w:rFonts w:ascii="Arial" w:hAnsi="Arial" w:cs="Arial"/>
        </w:rPr>
        <w:t>s</w:t>
      </w:r>
      <w:r w:rsidR="005A3701" w:rsidRPr="000333F6">
        <w:rPr>
          <w:rFonts w:ascii="Arial" w:hAnsi="Arial" w:cs="Arial"/>
        </w:rPr>
        <w:t xml:space="preserve"> declaratoria</w:t>
      </w:r>
      <w:r w:rsidR="005A3701">
        <w:rPr>
          <w:rFonts w:ascii="Arial" w:hAnsi="Arial" w:cs="Arial"/>
        </w:rPr>
        <w:t>s</w:t>
      </w:r>
      <w:r w:rsidR="005A3701" w:rsidRPr="000333F6">
        <w:rPr>
          <w:rFonts w:ascii="Arial" w:hAnsi="Arial" w:cs="Arial"/>
        </w:rPr>
        <w:t xml:space="preserve"> de incompetencia presentada por la </w:t>
      </w:r>
      <w:r w:rsidR="005A3701">
        <w:rPr>
          <w:rFonts w:ascii="Arial" w:hAnsi="Arial" w:cs="Arial"/>
        </w:rPr>
        <w:t xml:space="preserve">Dirección de Tecnologías de Transparencia, </w:t>
      </w:r>
      <w:r w:rsidR="005A3701" w:rsidRPr="001126E9">
        <w:rPr>
          <w:rFonts w:ascii="Arial" w:hAnsi="Arial" w:cs="Arial"/>
        </w:rPr>
        <w:t xml:space="preserve">en cumplimiento a las resoluciones de </w:t>
      </w:r>
      <w:r w:rsidR="005A3701" w:rsidRPr="001126E9">
        <w:rPr>
          <w:rFonts w:ascii="Arial" w:hAnsi="Arial" w:cs="Arial"/>
        </w:rPr>
        <w:lastRenderedPageBreak/>
        <w:t xml:space="preserve">expedientes </w:t>
      </w:r>
      <w:r w:rsidR="005A3701" w:rsidRPr="005A3701">
        <w:rPr>
          <w:rFonts w:ascii="Arial" w:hAnsi="Arial" w:cs="Arial"/>
        </w:rPr>
        <w:t>R.R.A.I.1048/2023/SICOM y su acumulado R.R.A.I.1053/2023/SICOM</w:t>
      </w:r>
      <w:r w:rsidR="005A3701" w:rsidRPr="001126E9">
        <w:rPr>
          <w:rFonts w:ascii="Arial" w:hAnsi="Arial" w:cs="Arial"/>
        </w:rPr>
        <w:t xml:space="preserve">, respecto de las solicitudes de acceso a la información pública con números de folio </w:t>
      </w:r>
      <w:r w:rsidR="005A3701" w:rsidRPr="005A3701">
        <w:rPr>
          <w:rFonts w:ascii="Arial" w:hAnsi="Arial" w:cs="Arial"/>
        </w:rPr>
        <w:t>202728523000418</w:t>
      </w:r>
      <w:r w:rsidR="005A3701">
        <w:rPr>
          <w:rFonts w:ascii="Arial" w:hAnsi="Arial" w:cs="Arial"/>
        </w:rPr>
        <w:t xml:space="preserve"> y</w:t>
      </w:r>
      <w:r w:rsidR="005A3701" w:rsidRPr="005A3701">
        <w:rPr>
          <w:rFonts w:ascii="Arial" w:hAnsi="Arial" w:cs="Arial"/>
        </w:rPr>
        <w:t xml:space="preserve"> 202728523000417</w:t>
      </w:r>
      <w:r w:rsidR="005A3701">
        <w:rPr>
          <w:rFonts w:ascii="Arial" w:hAnsi="Arial" w:cs="Arial"/>
        </w:rPr>
        <w:t xml:space="preserve">, así mismo la relativa al expediente </w:t>
      </w:r>
      <w:r w:rsidR="005A3701" w:rsidRPr="005A3701">
        <w:rPr>
          <w:rFonts w:ascii="Arial" w:hAnsi="Arial" w:cs="Arial"/>
        </w:rPr>
        <w:t>R.R.A.I.1047/2023/SICOM</w:t>
      </w:r>
      <w:r w:rsidR="005A3701" w:rsidRPr="001126E9">
        <w:rPr>
          <w:rFonts w:ascii="Arial" w:hAnsi="Arial" w:cs="Arial"/>
        </w:rPr>
        <w:t xml:space="preserve"> </w:t>
      </w:r>
      <w:r w:rsidR="005A3701">
        <w:rPr>
          <w:rFonts w:ascii="Arial" w:hAnsi="Arial" w:cs="Arial"/>
        </w:rPr>
        <w:t xml:space="preserve">que atiende la solicitud de acceso a la información con número de folio </w:t>
      </w:r>
      <w:r w:rsidR="005A3701" w:rsidRPr="005A3701">
        <w:rPr>
          <w:rFonts w:ascii="Arial" w:hAnsi="Arial" w:cs="Arial"/>
        </w:rPr>
        <w:t>202728523000416</w:t>
      </w:r>
      <w:r w:rsidR="005A3701" w:rsidRPr="001126E9">
        <w:rPr>
          <w:rFonts w:ascii="Arial" w:hAnsi="Arial" w:cs="Arial"/>
        </w:rPr>
        <w:t xml:space="preserve">- - - - - - - - - - - - - - - - - - - - - - - - - - - - - - - </w:t>
      </w:r>
      <w:r w:rsidR="005A3701">
        <w:rPr>
          <w:rFonts w:ascii="Arial" w:hAnsi="Arial" w:cs="Arial"/>
        </w:rPr>
        <w:t xml:space="preserve">- - - - </w:t>
      </w:r>
    </w:p>
    <w:p w14:paraId="592AC690" w14:textId="77777777" w:rsidR="005A3701" w:rsidRPr="007571C4" w:rsidRDefault="005A3701" w:rsidP="005A37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lang w:val="es-ES_tradnl"/>
        </w:rPr>
      </w:pPr>
      <w:bookmarkStart w:id="3" w:name="_Hlk121302027"/>
      <w:bookmarkStart w:id="4" w:name="_Hlk133227612"/>
      <w:bookmarkEnd w:id="1"/>
      <w:r>
        <w:rPr>
          <w:rFonts w:ascii="Arial" w:eastAsia="Times New Roman" w:hAnsi="Arial" w:cs="Arial"/>
          <w:b/>
          <w:lang w:val="es-ES_tradnl"/>
        </w:rPr>
        <w:t>SEGUNDO</w:t>
      </w:r>
      <w:r w:rsidRPr="007571C4">
        <w:rPr>
          <w:rFonts w:ascii="Arial" w:eastAsia="Times New Roman" w:hAnsi="Arial" w:cs="Arial"/>
          <w:b/>
          <w:lang w:val="es-ES_tradnl"/>
        </w:rPr>
        <w:t xml:space="preserve">: </w:t>
      </w:r>
      <w:r w:rsidRPr="007571C4">
        <w:rPr>
          <w:rFonts w:ascii="Arial" w:eastAsia="Times New Roman" w:hAnsi="Arial" w:cs="Arial"/>
          <w:lang w:val="es-ES_tradnl"/>
        </w:rPr>
        <w:t xml:space="preserve">Se instruye a la Secretaría Ejecutiva del Comité de Transparencia del </w:t>
      </w:r>
      <w:r w:rsidRPr="007571C4">
        <w:rPr>
          <w:rFonts w:ascii="Arial" w:eastAsia="Calibri" w:hAnsi="Arial" w:cs="Arial"/>
        </w:rPr>
        <w:t>Órgano Garante de Acceso a la Información Pública, Transparencia, Protección de Datos Personales y Buen Gobierno del Estado de Oaxaca</w:t>
      </w:r>
      <w:r w:rsidRPr="007571C4">
        <w:rPr>
          <w:rFonts w:ascii="Arial" w:eastAsia="Times New Roman" w:hAnsi="Arial" w:cs="Arial"/>
          <w:lang w:val="es-ES_tradnl"/>
        </w:rPr>
        <w:t>, notifique a la unidad administrativa del Órgano Garante, las determinaciones dictadas por este Órgano Colegiado para los efectos correspondientes. - - - - - - - - - - - - - - - - - - - - - - - - - - -</w:t>
      </w:r>
    </w:p>
    <w:p w14:paraId="59107194" w14:textId="77777777" w:rsidR="005A3701" w:rsidRPr="000333F6" w:rsidRDefault="005A3701" w:rsidP="005A370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TERCERO</w:t>
      </w:r>
      <w:r w:rsidRPr="000333F6">
        <w:rPr>
          <w:rFonts w:ascii="Arial" w:hAnsi="Arial" w:cs="Arial"/>
          <w:b/>
        </w:rPr>
        <w:t>:</w:t>
      </w:r>
      <w:r w:rsidRPr="000333F6">
        <w:rPr>
          <w:rFonts w:ascii="Arial" w:hAnsi="Arial" w:cs="Arial"/>
        </w:rPr>
        <w:t xml:space="preserve"> La Secretaría Ejecutiva del Comité de Transparencia de este Órgano Garante registrará el presente acuerdo en el rubro correspondiente del </w:t>
      </w:r>
      <w:r w:rsidRPr="000333F6">
        <w:rPr>
          <w:rFonts w:ascii="Arial" w:eastAsia="Times New Roman" w:hAnsi="Arial" w:cs="Arial"/>
          <w:bCs/>
        </w:rPr>
        <w:t>Sistema de Solicitudes de Información del Estado de Oaxaca de la Plataforma Nacional de Transparencia c</w:t>
      </w:r>
      <w:r w:rsidRPr="000333F6">
        <w:rPr>
          <w:rFonts w:ascii="Arial" w:hAnsi="Arial" w:cs="Arial"/>
        </w:rPr>
        <w:t xml:space="preserve">uyo usuario y contraseña se encuentran bajo su resguardo. - - - - - </w:t>
      </w:r>
    </w:p>
    <w:p w14:paraId="66E230DA" w14:textId="77777777" w:rsidR="005A3701" w:rsidRPr="000333F6" w:rsidRDefault="005A3701" w:rsidP="005A370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Pr="000333F6">
        <w:rPr>
          <w:rFonts w:ascii="Arial" w:hAnsi="Arial" w:cs="Arial"/>
          <w:b/>
        </w:rPr>
        <w:t>:</w:t>
      </w:r>
      <w:r w:rsidRPr="000333F6">
        <w:rPr>
          <w:rFonts w:ascii="Arial" w:hAnsi="Arial" w:cs="Arial"/>
        </w:rPr>
        <w:t xml:space="preserve"> Se instruye a la Secretaría Ejecutiva de este Comité de Transparencia realice los procedimientos para la publicación y actualización a que se refiere la fracción XXXIX del artículo 70 de la Ley General de la materia en los sistemas electrónicos correspondientes. - - - - - - - - - - - - - - - - - - - - - - - - - - - - - - - - - - - - - - </w:t>
      </w:r>
    </w:p>
    <w:p w14:paraId="642977EF" w14:textId="45468322" w:rsidR="00FB67BA" w:rsidRPr="000333F6" w:rsidRDefault="005A3701" w:rsidP="005A370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33F6">
        <w:rPr>
          <w:rFonts w:ascii="Arial" w:hAnsi="Arial" w:cs="Arial"/>
        </w:rPr>
        <w:t xml:space="preserve">Así lo acordó, por unanimidad de votos, el Comité de Transparencia del </w:t>
      </w:r>
      <w:r w:rsidRPr="000333F6">
        <w:rPr>
          <w:rFonts w:ascii="Arial" w:eastAsia="Calibri" w:hAnsi="Arial" w:cs="Arial"/>
        </w:rPr>
        <w:t>Órgano Garante de Acceso a la Información Pública, Transparencia, Protección de Datos Personales y Buen Gobierno del Estado de Oaxaca,</w:t>
      </w:r>
      <w:r w:rsidRPr="000333F6">
        <w:rPr>
          <w:rFonts w:ascii="Arial" w:hAnsi="Arial" w:cs="Arial"/>
        </w:rPr>
        <w:t xml:space="preserve"> firmando sus integrantes al calce y margen, en la ciudad de Oaxaca de Juárez, Oaxaca, mediante la </w:t>
      </w:r>
      <w:r>
        <w:rPr>
          <w:rFonts w:ascii="Arial" w:hAnsi="Arial" w:cs="Arial"/>
        </w:rPr>
        <w:t>Décima</w:t>
      </w:r>
      <w:r w:rsidRPr="000333F6">
        <w:rPr>
          <w:rFonts w:ascii="Arial" w:hAnsi="Arial" w:cs="Arial"/>
        </w:rPr>
        <w:t xml:space="preserve"> </w:t>
      </w:r>
      <w:r w:rsidR="004560B3">
        <w:rPr>
          <w:rFonts w:ascii="Arial" w:hAnsi="Arial" w:cs="Arial"/>
        </w:rPr>
        <w:t>Cuarta</w:t>
      </w:r>
      <w:r>
        <w:rPr>
          <w:rFonts w:ascii="Arial" w:hAnsi="Arial" w:cs="Arial"/>
        </w:rPr>
        <w:t xml:space="preserve"> </w:t>
      </w:r>
      <w:r w:rsidRPr="000333F6">
        <w:rPr>
          <w:rFonts w:ascii="Arial" w:hAnsi="Arial" w:cs="Arial"/>
        </w:rPr>
        <w:t xml:space="preserve">Sesión Extraordinaria del Comité de Transparencia, celebrada el </w:t>
      </w:r>
      <w:r>
        <w:rPr>
          <w:rFonts w:ascii="Arial" w:hAnsi="Arial" w:cs="Arial"/>
        </w:rPr>
        <w:t>veinte de marzo</w:t>
      </w:r>
      <w:r w:rsidRPr="000333F6">
        <w:rPr>
          <w:rFonts w:ascii="Arial" w:hAnsi="Arial" w:cs="Arial"/>
        </w:rPr>
        <w:t xml:space="preserve"> del dos mil veinti</w:t>
      </w:r>
      <w:r>
        <w:rPr>
          <w:rFonts w:ascii="Arial" w:hAnsi="Arial" w:cs="Arial"/>
        </w:rPr>
        <w:t>cuatro</w:t>
      </w:r>
      <w:r w:rsidRPr="000333F6">
        <w:rPr>
          <w:rFonts w:ascii="Arial" w:hAnsi="Arial" w:cs="Arial"/>
        </w:rPr>
        <w:t xml:space="preserve"> para los efectos a que haya lugar. </w:t>
      </w:r>
      <w:r w:rsidRPr="00C20ADF">
        <w:rPr>
          <w:rFonts w:ascii="Arial" w:hAnsi="Arial" w:cs="Arial"/>
          <w:b/>
          <w:bCs/>
        </w:rPr>
        <w:t>CONSTE</w:t>
      </w:r>
      <w:r w:rsidRPr="000333F6">
        <w:rPr>
          <w:rFonts w:ascii="Arial" w:hAnsi="Arial" w:cs="Arial"/>
        </w:rPr>
        <w:t>. - - - - - -</w:t>
      </w:r>
    </w:p>
    <w:bookmarkEnd w:id="2"/>
    <w:bookmarkEnd w:id="3"/>
    <w:bookmarkEnd w:id="4"/>
    <w:p w14:paraId="25EAE990" w14:textId="77777777" w:rsidR="00FB67BA" w:rsidRPr="000333F6" w:rsidRDefault="00FB67BA" w:rsidP="00FB67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00EF5B4" w14:textId="77777777" w:rsidR="00FB67BA" w:rsidRPr="000333F6" w:rsidRDefault="00FB67BA" w:rsidP="00FB67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F4E3AB" w14:textId="77777777" w:rsidR="00FB67BA" w:rsidRPr="000333F6" w:rsidRDefault="00FB67BA" w:rsidP="00FB67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126E9" w:rsidRPr="00CA41D7" w14:paraId="3E99DC2E" w14:textId="77777777" w:rsidTr="00D676B7">
        <w:tc>
          <w:tcPr>
            <w:tcW w:w="8828" w:type="dxa"/>
            <w:gridSpan w:val="2"/>
          </w:tcPr>
          <w:p w14:paraId="4111FEF2" w14:textId="77777777" w:rsidR="001126E9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6E628D" w14:textId="77777777" w:rsidR="001126E9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C7B6D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BEBE29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91F320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HÉCTOR EDUARDO RUÍZ SERRANO</w:t>
            </w:r>
          </w:p>
          <w:p w14:paraId="7528F05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PRESIDENTE</w:t>
            </w:r>
          </w:p>
        </w:tc>
      </w:tr>
      <w:tr w:rsidR="001126E9" w:rsidRPr="00CA41D7" w14:paraId="0D267AB7" w14:textId="77777777" w:rsidTr="00D676B7">
        <w:tc>
          <w:tcPr>
            <w:tcW w:w="4414" w:type="dxa"/>
          </w:tcPr>
          <w:p w14:paraId="129F13A3" w14:textId="77777777" w:rsidR="001126E9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622233" w14:textId="77777777" w:rsidR="005A3701" w:rsidRDefault="005A3701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A093C6" w14:textId="7BC10823" w:rsidR="005A3701" w:rsidRPr="00CA41D7" w:rsidRDefault="005A3701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E51DC36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79CFD1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26E9" w:rsidRPr="00CA41D7" w14:paraId="243F8D2C" w14:textId="77777777" w:rsidTr="00D676B7">
        <w:tc>
          <w:tcPr>
            <w:tcW w:w="4414" w:type="dxa"/>
          </w:tcPr>
          <w:p w14:paraId="183E86A4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BFF1F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B31110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A2555A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SARA MARIANA JARA CARRASCO</w:t>
            </w:r>
          </w:p>
          <w:p w14:paraId="61B11C8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VOCAL PRIMERA</w:t>
            </w:r>
          </w:p>
        </w:tc>
        <w:tc>
          <w:tcPr>
            <w:tcW w:w="4414" w:type="dxa"/>
          </w:tcPr>
          <w:p w14:paraId="62A182F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B63CD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09048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CBE7B4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BLANCA IMELDA MARTÍNEZ RODRÍGUEZ</w:t>
            </w:r>
          </w:p>
          <w:p w14:paraId="2B84E485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VOCAL SEGUNDA</w:t>
            </w:r>
          </w:p>
        </w:tc>
      </w:tr>
      <w:tr w:rsidR="001126E9" w:rsidRPr="00CA41D7" w14:paraId="7B6EA18D" w14:textId="77777777" w:rsidTr="00D676B7">
        <w:tc>
          <w:tcPr>
            <w:tcW w:w="4414" w:type="dxa"/>
          </w:tcPr>
          <w:p w14:paraId="35179612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4E4F625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3DFD4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26E9" w:rsidRPr="00CA41D7" w14:paraId="58D874C0" w14:textId="77777777" w:rsidTr="00D676B7">
        <w:tc>
          <w:tcPr>
            <w:tcW w:w="8828" w:type="dxa"/>
            <w:gridSpan w:val="2"/>
          </w:tcPr>
          <w:p w14:paraId="5E38A0B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BA969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EFBCF" w14:textId="4AC6BF31" w:rsidR="001126E9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A18B46" w14:textId="6168D96A" w:rsidR="005A3701" w:rsidRDefault="005A3701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69A14F" w14:textId="055E1976" w:rsidR="005A3701" w:rsidRDefault="005A3701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037B78" w14:textId="77777777" w:rsidR="005A3701" w:rsidRPr="00CA41D7" w:rsidRDefault="005A3701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AF05C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CARLOS BAUTISTA ROJAS</w:t>
            </w:r>
          </w:p>
          <w:p w14:paraId="647E3587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SECRETARIO EJECUTIVO</w:t>
            </w:r>
          </w:p>
        </w:tc>
      </w:tr>
      <w:tr w:rsidR="001126E9" w:rsidRPr="00CA41D7" w14:paraId="45968C8E" w14:textId="77777777" w:rsidTr="00D676B7">
        <w:tc>
          <w:tcPr>
            <w:tcW w:w="4414" w:type="dxa"/>
          </w:tcPr>
          <w:p w14:paraId="0303DB7F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6084046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26E9" w:rsidRPr="00CA41D7" w14:paraId="6399B87B" w14:textId="77777777" w:rsidTr="00D676B7">
        <w:tc>
          <w:tcPr>
            <w:tcW w:w="8828" w:type="dxa"/>
            <w:gridSpan w:val="2"/>
          </w:tcPr>
          <w:p w14:paraId="3B9B0D3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794FB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FB4763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EE7183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85928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Cs/>
                <w:sz w:val="24"/>
                <w:szCs w:val="24"/>
              </w:rPr>
              <w:t>C. JORGE FAUSTO BUSTAMANTE GARCÍA</w:t>
            </w:r>
          </w:p>
          <w:p w14:paraId="7753C42C" w14:textId="77777777" w:rsidR="001126E9" w:rsidRPr="00CA41D7" w:rsidRDefault="001126E9" w:rsidP="00D6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1D7">
              <w:rPr>
                <w:rFonts w:ascii="Arial" w:hAnsi="Arial" w:cs="Arial"/>
                <w:b/>
                <w:bCs/>
                <w:sz w:val="24"/>
                <w:szCs w:val="24"/>
              </w:rPr>
              <w:t>COMISARIO</w:t>
            </w:r>
          </w:p>
        </w:tc>
      </w:tr>
    </w:tbl>
    <w:p w14:paraId="1B472120" w14:textId="77777777" w:rsidR="001126E9" w:rsidRPr="00CA41D7" w:rsidRDefault="001126E9" w:rsidP="001126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2CE8552" w14:textId="77777777" w:rsidR="001126E9" w:rsidRDefault="001126E9" w:rsidP="001126E9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17DD5336" w14:textId="77777777" w:rsidR="001126E9" w:rsidRDefault="001126E9" w:rsidP="001126E9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5A17EAEF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629CB641" w14:textId="3CB1FEA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  <w:bookmarkStart w:id="5" w:name="_Hlk161225988"/>
      <w:r w:rsidRPr="000333F6">
        <w:rPr>
          <w:rFonts w:ascii="Arial" w:hAnsi="Arial" w:cs="Arial"/>
          <w:sz w:val="18"/>
          <w:szCs w:val="18"/>
        </w:rPr>
        <w:t>LAS PRESENTES FIRMAS CORRESPONDEN</w:t>
      </w:r>
      <w:r>
        <w:rPr>
          <w:rFonts w:ascii="Arial" w:hAnsi="Arial" w:cs="Arial"/>
          <w:sz w:val="18"/>
          <w:szCs w:val="18"/>
        </w:rPr>
        <w:t xml:space="preserve"> AL</w:t>
      </w:r>
      <w:r w:rsidRPr="000333F6">
        <w:rPr>
          <w:rFonts w:ascii="Arial" w:hAnsi="Arial" w:cs="Arial"/>
          <w:sz w:val="18"/>
          <w:szCs w:val="18"/>
        </w:rPr>
        <w:t xml:space="preserve"> ACUERDO/OGAIPO/CT/0</w:t>
      </w:r>
      <w:r w:rsidR="001126E9">
        <w:rPr>
          <w:rFonts w:ascii="Arial" w:hAnsi="Arial" w:cs="Arial"/>
          <w:sz w:val="18"/>
          <w:szCs w:val="18"/>
        </w:rPr>
        <w:t>1</w:t>
      </w:r>
      <w:r w:rsidR="00023220">
        <w:rPr>
          <w:rFonts w:ascii="Arial" w:hAnsi="Arial" w:cs="Arial"/>
          <w:sz w:val="18"/>
          <w:szCs w:val="18"/>
        </w:rPr>
        <w:t>4</w:t>
      </w:r>
      <w:r w:rsidRPr="000333F6">
        <w:rPr>
          <w:rFonts w:ascii="Arial" w:hAnsi="Arial" w:cs="Arial"/>
          <w:sz w:val="18"/>
          <w:szCs w:val="18"/>
        </w:rPr>
        <w:t>/202</w:t>
      </w:r>
      <w:r w:rsidR="001126E9">
        <w:rPr>
          <w:rFonts w:ascii="Arial" w:hAnsi="Arial" w:cs="Arial"/>
          <w:sz w:val="18"/>
          <w:szCs w:val="18"/>
        </w:rPr>
        <w:t>4</w:t>
      </w:r>
      <w:r w:rsidRPr="000333F6">
        <w:rPr>
          <w:rFonts w:ascii="Arial" w:hAnsi="Arial" w:cs="Arial"/>
          <w:sz w:val="18"/>
          <w:szCs w:val="18"/>
        </w:rPr>
        <w:t xml:space="preserve"> POR EL CUAL EL COMITÉ DE TRANSPARENCIA DE ESTE ÓRGANO GARANTE, CONFIRMA, MODIFICA O REVOCA LA DECLARATORIA DE INCOMPETENCIA QUE EMITE LA </w:t>
      </w:r>
      <w:r w:rsidR="001126E9">
        <w:rPr>
          <w:rFonts w:ascii="Arial" w:hAnsi="Arial" w:cs="Arial"/>
          <w:sz w:val="18"/>
          <w:szCs w:val="18"/>
        </w:rPr>
        <w:t>DIRECCIÓN DE TECNOLOGÍAS DE</w:t>
      </w:r>
      <w:r w:rsidRPr="000333F6">
        <w:rPr>
          <w:rFonts w:ascii="Arial" w:hAnsi="Arial" w:cs="Arial"/>
          <w:sz w:val="18"/>
          <w:szCs w:val="18"/>
        </w:rPr>
        <w:t xml:space="preserve"> TRANSPARENCIA</w:t>
      </w:r>
      <w:r w:rsidR="001126E9">
        <w:rPr>
          <w:rFonts w:ascii="Arial" w:hAnsi="Arial" w:cs="Arial"/>
          <w:sz w:val="18"/>
          <w:szCs w:val="18"/>
        </w:rPr>
        <w:t xml:space="preserve">, </w:t>
      </w:r>
      <w:r w:rsidR="001126E9" w:rsidRPr="001126E9">
        <w:rPr>
          <w:rFonts w:ascii="Arial" w:hAnsi="Arial" w:cs="Arial"/>
          <w:sz w:val="18"/>
          <w:szCs w:val="18"/>
        </w:rPr>
        <w:t xml:space="preserve">EN CUMPLIMIENTO A LAS RESOLUCIONES DE EXPEDIENTES </w:t>
      </w:r>
      <w:r w:rsidR="00023220" w:rsidRPr="00023220">
        <w:rPr>
          <w:rFonts w:ascii="Arial" w:hAnsi="Arial" w:cs="Arial"/>
          <w:sz w:val="18"/>
          <w:szCs w:val="18"/>
        </w:rPr>
        <w:t>R.R.A.I. 1048/2023/SICOM y su acumulado R.R.A.I. 1053/2023/SICOM Y EL R.R.A.I. 1047/2023/SICOM, RESPECTO DE LAS SOLICITUDES DE ACCESO A LA INFORMACIÓN PÚBLICA CON NÚMEROS DE FOLIO 202728523000418, 202728523000417 Y 202728523000416. - - - - - - - - - - - - - - - - - - - - - - - - - - -</w:t>
      </w:r>
      <w:r w:rsidR="00023220">
        <w:rPr>
          <w:rFonts w:ascii="Arial" w:hAnsi="Arial" w:cs="Arial"/>
          <w:sz w:val="18"/>
          <w:szCs w:val="18"/>
        </w:rPr>
        <w:t xml:space="preserve"> - - - - - - - - - </w:t>
      </w:r>
    </w:p>
    <w:bookmarkEnd w:id="5"/>
    <w:p w14:paraId="3108B6E1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365C925B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186784E1" w14:textId="77777777" w:rsidR="00FB67BA" w:rsidRPr="000333F6" w:rsidRDefault="00FB67BA" w:rsidP="00FB67BA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14:paraId="01986961" w14:textId="6752C300" w:rsidR="00150315" w:rsidRPr="0054591B" w:rsidRDefault="001126E9" w:rsidP="001126E9">
      <w:pPr>
        <w:shd w:val="clear" w:color="auto" w:fill="FFFFFF"/>
        <w:spacing w:after="225"/>
        <w:jc w:val="both"/>
      </w:pPr>
      <w:r>
        <w:rPr>
          <w:rFonts w:ascii="Arial" w:hAnsi="Arial" w:cs="Arial"/>
          <w:sz w:val="18"/>
          <w:szCs w:val="18"/>
        </w:rPr>
        <w:t>CBR</w:t>
      </w:r>
      <w:r w:rsidR="00FB67BA" w:rsidRPr="000333F6">
        <w:rPr>
          <w:rFonts w:ascii="Arial" w:hAnsi="Arial" w:cs="Arial"/>
          <w:sz w:val="18"/>
          <w:szCs w:val="18"/>
        </w:rPr>
        <w:t>*</w:t>
      </w:r>
      <w:proofErr w:type="spellStart"/>
      <w:r w:rsidR="00FB67BA" w:rsidRPr="000333F6">
        <w:rPr>
          <w:rFonts w:ascii="Arial" w:hAnsi="Arial" w:cs="Arial"/>
          <w:sz w:val="18"/>
          <w:szCs w:val="18"/>
        </w:rPr>
        <w:t>jmvv</w:t>
      </w:r>
      <w:proofErr w:type="spellEnd"/>
    </w:p>
    <w:sectPr w:rsidR="00150315" w:rsidRPr="0054591B" w:rsidSect="002D2657">
      <w:headerReference w:type="default" r:id="rId8"/>
      <w:footerReference w:type="default" r:id="rId9"/>
      <w:pgSz w:w="12240" w:h="20160" w:code="5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CA92" w14:textId="77777777" w:rsidR="002D2657" w:rsidRDefault="002D2657" w:rsidP="00505074">
      <w:r>
        <w:separator/>
      </w:r>
    </w:p>
  </w:endnote>
  <w:endnote w:type="continuationSeparator" w:id="0">
    <w:p w14:paraId="00726297" w14:textId="77777777" w:rsidR="002D2657" w:rsidRDefault="002D2657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A3BF" w14:textId="11E16B06" w:rsidR="00DB0C3C" w:rsidRDefault="00DB0C3C">
    <w:pPr>
      <w:pStyle w:val="Piedepgina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3C3C63F" wp14:editId="7F0A73AF">
          <wp:simplePos x="0" y="0"/>
          <wp:positionH relativeFrom="column">
            <wp:posOffset>2342515</wp:posOffset>
          </wp:positionH>
          <wp:positionV relativeFrom="margin">
            <wp:align>center</wp:align>
          </wp:positionV>
          <wp:extent cx="7538085" cy="1256665"/>
          <wp:effectExtent l="381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0358" w14:textId="77777777" w:rsidR="002D2657" w:rsidRDefault="002D2657" w:rsidP="00505074">
      <w:r>
        <w:separator/>
      </w:r>
    </w:p>
  </w:footnote>
  <w:footnote w:type="continuationSeparator" w:id="0">
    <w:p w14:paraId="5AD8123B" w14:textId="77777777" w:rsidR="002D2657" w:rsidRDefault="002D2657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F284" w14:textId="0FD379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FE518C2" wp14:editId="3EE55569">
          <wp:simplePos x="0" y="0"/>
          <wp:positionH relativeFrom="column">
            <wp:posOffset>-280035</wp:posOffset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4456"/>
    <w:multiLevelType w:val="hybridMultilevel"/>
    <w:tmpl w:val="48681394"/>
    <w:lvl w:ilvl="0" w:tplc="901E4C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12CF9"/>
    <w:rsid w:val="00023220"/>
    <w:rsid w:val="0007136C"/>
    <w:rsid w:val="00075AB7"/>
    <w:rsid w:val="000B7C64"/>
    <w:rsid w:val="000C07A5"/>
    <w:rsid w:val="000C136A"/>
    <w:rsid w:val="001126E9"/>
    <w:rsid w:val="00115F15"/>
    <w:rsid w:val="00133F84"/>
    <w:rsid w:val="00137D0D"/>
    <w:rsid w:val="00150315"/>
    <w:rsid w:val="00191709"/>
    <w:rsid w:val="001C3A24"/>
    <w:rsid w:val="001C5977"/>
    <w:rsid w:val="001D30EE"/>
    <w:rsid w:val="002060F1"/>
    <w:rsid w:val="00267AC3"/>
    <w:rsid w:val="002C3051"/>
    <w:rsid w:val="002C54D1"/>
    <w:rsid w:val="002D152B"/>
    <w:rsid w:val="002D2657"/>
    <w:rsid w:val="00320B59"/>
    <w:rsid w:val="0037163E"/>
    <w:rsid w:val="00395272"/>
    <w:rsid w:val="003F7C21"/>
    <w:rsid w:val="00424E7A"/>
    <w:rsid w:val="00430863"/>
    <w:rsid w:val="00431A8D"/>
    <w:rsid w:val="004560B3"/>
    <w:rsid w:val="004712DB"/>
    <w:rsid w:val="00496B6A"/>
    <w:rsid w:val="004F728F"/>
    <w:rsid w:val="00505074"/>
    <w:rsid w:val="00540751"/>
    <w:rsid w:val="0054591B"/>
    <w:rsid w:val="0057222F"/>
    <w:rsid w:val="005A3701"/>
    <w:rsid w:val="005F6794"/>
    <w:rsid w:val="0061177C"/>
    <w:rsid w:val="0061401C"/>
    <w:rsid w:val="00625597"/>
    <w:rsid w:val="00662547"/>
    <w:rsid w:val="006632A1"/>
    <w:rsid w:val="006647D2"/>
    <w:rsid w:val="006C0512"/>
    <w:rsid w:val="00711774"/>
    <w:rsid w:val="007634AB"/>
    <w:rsid w:val="007B7D0A"/>
    <w:rsid w:val="00801920"/>
    <w:rsid w:val="0080234B"/>
    <w:rsid w:val="00811320"/>
    <w:rsid w:val="008E401E"/>
    <w:rsid w:val="009100C6"/>
    <w:rsid w:val="00920943"/>
    <w:rsid w:val="009E20E2"/>
    <w:rsid w:val="00A1022F"/>
    <w:rsid w:val="00A31065"/>
    <w:rsid w:val="00A56332"/>
    <w:rsid w:val="00AC49B0"/>
    <w:rsid w:val="00B577AF"/>
    <w:rsid w:val="00BA1B21"/>
    <w:rsid w:val="00BA343F"/>
    <w:rsid w:val="00BA6746"/>
    <w:rsid w:val="00C05CD1"/>
    <w:rsid w:val="00C07082"/>
    <w:rsid w:val="00C20ADF"/>
    <w:rsid w:val="00C25E29"/>
    <w:rsid w:val="00C335F7"/>
    <w:rsid w:val="00C631B7"/>
    <w:rsid w:val="00CB3DF9"/>
    <w:rsid w:val="00CB7833"/>
    <w:rsid w:val="00CC05E7"/>
    <w:rsid w:val="00D77C50"/>
    <w:rsid w:val="00D836B1"/>
    <w:rsid w:val="00D862FF"/>
    <w:rsid w:val="00D96B13"/>
    <w:rsid w:val="00DB0C3C"/>
    <w:rsid w:val="00DC0B0F"/>
    <w:rsid w:val="00DC1402"/>
    <w:rsid w:val="00DC65C4"/>
    <w:rsid w:val="00E266B1"/>
    <w:rsid w:val="00E90CC9"/>
    <w:rsid w:val="00EE48C4"/>
    <w:rsid w:val="00F023FE"/>
    <w:rsid w:val="00F05D46"/>
    <w:rsid w:val="00F36284"/>
    <w:rsid w:val="00F56F58"/>
    <w:rsid w:val="00F626E9"/>
    <w:rsid w:val="00F6330E"/>
    <w:rsid w:val="00F80CBC"/>
    <w:rsid w:val="00F854FE"/>
    <w:rsid w:val="00FB67BA"/>
    <w:rsid w:val="00FC7635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unhideWhenUsed/>
    <w:qFormat/>
    <w:rsid w:val="00C631B7"/>
    <w:rPr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631B7"/>
  </w:style>
  <w:style w:type="character" w:customStyle="1" w:styleId="SinespaciadoCar">
    <w:name w:val="Sin espaciado Car"/>
    <w:basedOn w:val="Fuentedeprrafopredeter"/>
    <w:link w:val="Sinespaciado"/>
    <w:uiPriority w:val="1"/>
    <w:rsid w:val="00C631B7"/>
  </w:style>
  <w:style w:type="paragraph" w:styleId="Prrafodelista">
    <w:name w:val="List Paragraph"/>
    <w:basedOn w:val="Normal"/>
    <w:uiPriority w:val="34"/>
    <w:qFormat/>
    <w:rsid w:val="000B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56C16C-DF11-4919-94BF-0C34E9F5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4014</Words>
  <Characters>22077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Juan Miguel Villacaña Vivas</cp:lastModifiedBy>
  <cp:revision>6</cp:revision>
  <cp:lastPrinted>2024-04-23T17:00:00Z</cp:lastPrinted>
  <dcterms:created xsi:type="dcterms:W3CDTF">2024-04-18T21:17:00Z</dcterms:created>
  <dcterms:modified xsi:type="dcterms:W3CDTF">2024-04-23T21:12:00Z</dcterms:modified>
</cp:coreProperties>
</file>