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610C" w14:textId="6E2DA1E4" w:rsidR="000C5A40" w:rsidRPr="009B5CA2" w:rsidRDefault="000C5A40" w:rsidP="00007541">
      <w:pPr>
        <w:widowControl w:val="0"/>
        <w:autoSpaceDE w:val="0"/>
        <w:autoSpaceDN w:val="0"/>
        <w:adjustRightInd w:val="0"/>
        <w:spacing w:line="360" w:lineRule="auto"/>
        <w:jc w:val="both"/>
        <w:rPr>
          <w:rFonts w:ascii="Arial" w:hAnsi="Arial" w:cs="Arial"/>
          <w:b/>
          <w:bCs/>
        </w:rPr>
      </w:pPr>
      <w:bookmarkStart w:id="0" w:name="_Hlk212610456"/>
      <w:r w:rsidRPr="009B5CA2">
        <w:rPr>
          <w:rFonts w:ascii="Arial" w:hAnsi="Arial" w:cs="Arial"/>
          <w:b/>
          <w:bCs/>
        </w:rPr>
        <w:t>ACUERDO/OGAIPO/CT/</w:t>
      </w:r>
      <w:r w:rsidR="00C93AC8">
        <w:rPr>
          <w:rFonts w:ascii="Arial" w:hAnsi="Arial" w:cs="Arial"/>
          <w:b/>
          <w:bCs/>
        </w:rPr>
        <w:t>008</w:t>
      </w:r>
      <w:r w:rsidRPr="009B5CA2">
        <w:rPr>
          <w:rFonts w:ascii="Arial" w:hAnsi="Arial" w:cs="Arial"/>
          <w:b/>
          <w:bCs/>
        </w:rPr>
        <w:t xml:space="preserve">/2025 POR EL CUAL EL COMITÉ DE TRANSPARENCIA DE ESTE ÓRGANO GARANTE, CONFIRMA LA DECLARATORIA DE </w:t>
      </w:r>
      <w:r w:rsidR="00711F99">
        <w:rPr>
          <w:rFonts w:ascii="Arial" w:hAnsi="Arial" w:cs="Arial"/>
          <w:b/>
          <w:bCs/>
        </w:rPr>
        <w:t>CLASIFICACIÓN</w:t>
      </w:r>
      <w:r w:rsidRPr="009B5CA2">
        <w:rPr>
          <w:rFonts w:ascii="Arial" w:hAnsi="Arial" w:cs="Arial"/>
          <w:b/>
          <w:bCs/>
        </w:rPr>
        <w:t xml:space="preserve"> DE </w:t>
      </w:r>
      <w:r w:rsidR="007B6BED" w:rsidRPr="009B5CA2">
        <w:rPr>
          <w:rFonts w:ascii="Arial" w:hAnsi="Arial" w:cs="Arial"/>
          <w:b/>
          <w:bCs/>
        </w:rPr>
        <w:t xml:space="preserve">INFORMACIÓN </w:t>
      </w:r>
      <w:r w:rsidR="00711F99">
        <w:rPr>
          <w:rFonts w:ascii="Arial" w:hAnsi="Arial" w:cs="Arial"/>
          <w:b/>
          <w:bCs/>
        </w:rPr>
        <w:t xml:space="preserve">COMO RESERVADA </w:t>
      </w:r>
      <w:r w:rsidR="007B6BED" w:rsidRPr="009B5CA2">
        <w:rPr>
          <w:rFonts w:ascii="Arial" w:hAnsi="Arial" w:cs="Arial"/>
          <w:b/>
          <w:bCs/>
        </w:rPr>
        <w:t xml:space="preserve">QUE EMITE LA </w:t>
      </w:r>
      <w:r w:rsidR="00C93AC8">
        <w:rPr>
          <w:rFonts w:ascii="Arial" w:hAnsi="Arial" w:cs="Arial"/>
          <w:b/>
          <w:bCs/>
        </w:rPr>
        <w:t>CONTRALORÍA GENERAL</w:t>
      </w:r>
      <w:r w:rsidR="007B6BED" w:rsidRPr="009B5CA2">
        <w:rPr>
          <w:rFonts w:ascii="Arial" w:hAnsi="Arial" w:cs="Arial"/>
          <w:b/>
          <w:bCs/>
        </w:rPr>
        <w:t xml:space="preserve">, RESPECTO DE LA SOLICITUD DE ACCESO A LA INFORMACIÓN PÚBLICA CON NÚMERO DE FOLIO </w:t>
      </w:r>
      <w:r w:rsidR="00C93AC8" w:rsidRPr="00C93AC8">
        <w:rPr>
          <w:rFonts w:ascii="Arial" w:hAnsi="Arial" w:cs="Arial"/>
          <w:b/>
          <w:bCs/>
        </w:rPr>
        <w:t>202728525000197</w:t>
      </w:r>
      <w:bookmarkEnd w:id="0"/>
      <w:r w:rsidR="007B6BED" w:rsidRPr="009B5CA2">
        <w:rPr>
          <w:rFonts w:ascii="Arial" w:hAnsi="Arial" w:cs="Arial"/>
          <w:b/>
          <w:bCs/>
        </w:rPr>
        <w:t xml:space="preserve">. - - - - - - </w:t>
      </w:r>
      <w:r w:rsidR="00C93AC8">
        <w:rPr>
          <w:rFonts w:ascii="Arial" w:hAnsi="Arial" w:cs="Arial"/>
          <w:b/>
          <w:bCs/>
        </w:rPr>
        <w:t xml:space="preserve">- - - - - - - - - - - - - - </w:t>
      </w:r>
      <w:r w:rsidR="00C93AC8" w:rsidRPr="009B5CA2">
        <w:rPr>
          <w:rFonts w:ascii="Arial" w:hAnsi="Arial" w:cs="Arial"/>
          <w:b/>
          <w:bCs/>
        </w:rPr>
        <w:t xml:space="preserve">- - - - - - </w:t>
      </w:r>
      <w:r w:rsidR="00C93AC8">
        <w:rPr>
          <w:rFonts w:ascii="Arial" w:hAnsi="Arial" w:cs="Arial"/>
          <w:b/>
          <w:bCs/>
        </w:rPr>
        <w:t xml:space="preserve">- - - - - - - - - - - - - - - - - - - - </w:t>
      </w:r>
    </w:p>
    <w:p w14:paraId="0F09C8C1" w14:textId="77777777" w:rsidR="000C5A40" w:rsidRPr="009B5CA2" w:rsidRDefault="000C5A40" w:rsidP="00007541">
      <w:pPr>
        <w:widowControl w:val="0"/>
        <w:autoSpaceDE w:val="0"/>
        <w:autoSpaceDN w:val="0"/>
        <w:adjustRightInd w:val="0"/>
        <w:spacing w:line="360" w:lineRule="auto"/>
        <w:jc w:val="both"/>
        <w:rPr>
          <w:rFonts w:ascii="Arial" w:hAnsi="Arial" w:cs="Arial"/>
          <w:b/>
          <w:bCs/>
        </w:rPr>
      </w:pPr>
    </w:p>
    <w:p w14:paraId="09F99B5E" w14:textId="6A01BD9C" w:rsidR="007B6BED" w:rsidRPr="009B5CA2" w:rsidRDefault="007B6BED" w:rsidP="00007541">
      <w:pPr>
        <w:widowControl w:val="0"/>
        <w:autoSpaceDE w:val="0"/>
        <w:autoSpaceDN w:val="0"/>
        <w:adjustRightInd w:val="0"/>
        <w:spacing w:line="360" w:lineRule="auto"/>
        <w:jc w:val="both"/>
        <w:rPr>
          <w:rFonts w:ascii="Arial" w:hAnsi="Arial" w:cs="Arial"/>
          <w:bCs/>
          <w:lang w:val="es-ES_tradnl"/>
        </w:rPr>
      </w:pPr>
      <w:r w:rsidRPr="009B5CA2">
        <w:rPr>
          <w:rFonts w:ascii="Arial" w:hAnsi="Arial" w:cs="Arial"/>
          <w:bCs/>
        </w:rPr>
        <w:t xml:space="preserve">Con fundamento en lo establecido en los artículos: </w:t>
      </w:r>
      <w:r w:rsidR="00C93AC8">
        <w:rPr>
          <w:rFonts w:ascii="Arial" w:hAnsi="Arial" w:cs="Arial"/>
          <w:bCs/>
        </w:rPr>
        <w:t>20</w:t>
      </w:r>
      <w:r w:rsidRPr="009B5CA2">
        <w:rPr>
          <w:rFonts w:ascii="Arial" w:hAnsi="Arial" w:cs="Arial"/>
          <w:bCs/>
        </w:rPr>
        <w:t xml:space="preserve"> fracción I, </w:t>
      </w:r>
      <w:r w:rsidR="00C93AC8">
        <w:rPr>
          <w:rFonts w:ascii="Arial" w:hAnsi="Arial" w:cs="Arial"/>
          <w:bCs/>
        </w:rPr>
        <w:t xml:space="preserve">39 </w:t>
      </w:r>
      <w:r w:rsidRPr="009B5CA2">
        <w:rPr>
          <w:rFonts w:ascii="Arial" w:hAnsi="Arial" w:cs="Arial"/>
          <w:bCs/>
        </w:rPr>
        <w:t>y 4</w:t>
      </w:r>
      <w:r w:rsidR="00C93AC8">
        <w:rPr>
          <w:rFonts w:ascii="Arial" w:hAnsi="Arial" w:cs="Arial"/>
          <w:bCs/>
        </w:rPr>
        <w:t>0</w:t>
      </w:r>
      <w:r w:rsidRPr="009B5CA2">
        <w:rPr>
          <w:rFonts w:ascii="Arial" w:hAnsi="Arial" w:cs="Arial"/>
          <w:bCs/>
        </w:rPr>
        <w:t xml:space="preserve"> de la Ley General de Transparencia y Acceso a la Información Pública; 10 fracción XVI, 72 y 73 de la Ley de Transparencia, Acceso a la Información Pública y Buen Gobierno del Estado de Oaxaca y 1, 3, 4, 13, 14, del </w:t>
      </w:r>
      <w:r w:rsidRPr="009B5CA2">
        <w:rPr>
          <w:rFonts w:ascii="Arial" w:hAnsi="Arial" w:cs="Arial"/>
          <w:bCs/>
          <w:lang w:val="es-ES_tradnl"/>
        </w:rPr>
        <w:t>Reglamento Interno del Comité de Transparencia del Órgano Garante de Acceso a la Información Pública, Transparencia, Protección de Datos Personales y Buen Gobierno del Estado de Oaxaca, se emite el presente acuerdo tomando en cuenta los siguientes: - - - - - - -</w:t>
      </w:r>
      <w:r w:rsidR="00AA3F0A">
        <w:rPr>
          <w:rFonts w:ascii="Arial" w:hAnsi="Arial" w:cs="Arial"/>
          <w:bCs/>
          <w:lang w:val="es-ES_tradnl"/>
        </w:rPr>
        <w:t xml:space="preserve"> </w:t>
      </w:r>
    </w:p>
    <w:p w14:paraId="47CA2836" w14:textId="77777777" w:rsidR="007B6BED" w:rsidRPr="009B5CA2" w:rsidRDefault="007B6BED" w:rsidP="00007541">
      <w:pPr>
        <w:widowControl w:val="0"/>
        <w:autoSpaceDE w:val="0"/>
        <w:autoSpaceDN w:val="0"/>
        <w:adjustRightInd w:val="0"/>
        <w:spacing w:line="360" w:lineRule="auto"/>
        <w:jc w:val="both"/>
        <w:rPr>
          <w:rFonts w:ascii="Arial" w:hAnsi="Arial" w:cs="Arial"/>
          <w:bCs/>
        </w:rPr>
      </w:pPr>
    </w:p>
    <w:p w14:paraId="317568E6" w14:textId="77777777" w:rsidR="007B6BED" w:rsidRPr="009B5CA2" w:rsidRDefault="007B6BED" w:rsidP="00007541">
      <w:pPr>
        <w:pStyle w:val="Sinespaciado"/>
        <w:spacing w:line="360" w:lineRule="auto"/>
        <w:jc w:val="center"/>
        <w:rPr>
          <w:rFonts w:ascii="Arial" w:eastAsia="Calibri" w:hAnsi="Arial" w:cs="Arial"/>
          <w:b/>
          <w:lang w:val="es-ES_tradnl"/>
        </w:rPr>
      </w:pPr>
      <w:r w:rsidRPr="009B5CA2">
        <w:rPr>
          <w:rFonts w:ascii="Arial" w:eastAsia="Calibri" w:hAnsi="Arial" w:cs="Arial"/>
          <w:b/>
          <w:lang w:val="es-ES_tradnl"/>
        </w:rPr>
        <w:t>A N T E C E D E N T E S</w:t>
      </w:r>
    </w:p>
    <w:p w14:paraId="00460BC3" w14:textId="77777777" w:rsidR="007B6BED" w:rsidRPr="009B5CA2" w:rsidRDefault="007B6BED" w:rsidP="00007541">
      <w:pPr>
        <w:pStyle w:val="Sinespaciado"/>
        <w:spacing w:line="360" w:lineRule="auto"/>
        <w:jc w:val="both"/>
        <w:rPr>
          <w:rFonts w:ascii="Arial" w:eastAsia="Calibri" w:hAnsi="Arial" w:cs="Arial"/>
          <w:b/>
          <w:lang w:val="es-ES_tradnl"/>
        </w:rPr>
      </w:pPr>
    </w:p>
    <w:p w14:paraId="1A3DE0E7" w14:textId="77777777" w:rsidR="007B6BED" w:rsidRPr="009B5CA2" w:rsidRDefault="007B6BED" w:rsidP="00007541">
      <w:pPr>
        <w:pStyle w:val="Sinespaciado"/>
        <w:spacing w:line="360" w:lineRule="auto"/>
        <w:jc w:val="both"/>
        <w:rPr>
          <w:rFonts w:ascii="Arial" w:eastAsia="Calibri" w:hAnsi="Arial" w:cs="Arial"/>
        </w:rPr>
      </w:pPr>
      <w:r w:rsidRPr="009B5CA2">
        <w:rPr>
          <w:rFonts w:ascii="Arial" w:eastAsia="Calibri" w:hAnsi="Arial" w:cs="Arial"/>
          <w:b/>
        </w:rPr>
        <w:t>1.-</w:t>
      </w:r>
      <w:r w:rsidRPr="009B5CA2">
        <w:rPr>
          <w:rFonts w:ascii="Arial" w:eastAsia="Calibri" w:hAnsi="Arial" w:cs="Arial"/>
        </w:rPr>
        <w:t xml:space="preserve"> Con fecha veintisiete de octubre del dos </w:t>
      </w:r>
      <w:proofErr w:type="gramStart"/>
      <w:r w:rsidRPr="009B5CA2">
        <w:rPr>
          <w:rFonts w:ascii="Arial" w:eastAsia="Calibri" w:hAnsi="Arial" w:cs="Arial"/>
        </w:rPr>
        <w:t>mil veintiuno</w:t>
      </w:r>
      <w:proofErr w:type="gramEnd"/>
      <w:r w:rsidRPr="009B5CA2">
        <w:rPr>
          <w:rFonts w:ascii="Arial" w:eastAsia="Calibri" w:hAnsi="Arial" w:cs="Arial"/>
        </w:rPr>
        <w:t xml:space="preserve">, se instaló formalmente e inició funciones mediante Sesión Solemne el Órgano Garante de Acceso a la Información Pública, Transparencia, Protección de Datos Personales y Buen Gobierno del Estado de Oaxaca, emitiendo, por consiguiente, el Acuerdo OGAIP/CG/01/2021, por el que hizo del conocimiento de las autoridades federales, estatales y municipales del Estado de Oaxaca, así como del público en general de esta situación. - - - - - - - - - - - - - - - - - - - - - - - - - - - - - - - - - - - - - - - - - - - - - - - - - </w:t>
      </w:r>
    </w:p>
    <w:p w14:paraId="52E9C613" w14:textId="77777777" w:rsidR="007B6BED" w:rsidRPr="009B5CA2" w:rsidRDefault="007B6BED" w:rsidP="00007541">
      <w:pPr>
        <w:pStyle w:val="Sinespaciado"/>
        <w:spacing w:line="360" w:lineRule="auto"/>
        <w:jc w:val="both"/>
        <w:rPr>
          <w:rFonts w:ascii="Arial" w:eastAsia="Calibri" w:hAnsi="Arial" w:cs="Arial"/>
        </w:rPr>
      </w:pPr>
      <w:r w:rsidRPr="009B5CA2">
        <w:rPr>
          <w:rFonts w:ascii="Arial" w:eastAsia="Calibri" w:hAnsi="Arial" w:cs="Arial"/>
        </w:rPr>
        <w:t xml:space="preserve">Aunado a lo anterior, las y los integrantes del Consejo General del Órgano Garante de Acceso a la Información Pública, Transparencia, Protección de Datos Personales y Buen Gobierno del Estado de Oaxaca tuvieron a bien designar al Comisionado José Luis Echeverría Morales como </w:t>
      </w:r>
      <w:proofErr w:type="gramStart"/>
      <w:r w:rsidRPr="009B5CA2">
        <w:rPr>
          <w:rFonts w:ascii="Arial" w:eastAsia="Calibri" w:hAnsi="Arial" w:cs="Arial"/>
        </w:rPr>
        <w:t>Presidente</w:t>
      </w:r>
      <w:proofErr w:type="gramEnd"/>
      <w:r w:rsidRPr="009B5CA2">
        <w:rPr>
          <w:rFonts w:ascii="Arial" w:eastAsia="Calibri" w:hAnsi="Arial" w:cs="Arial"/>
        </w:rPr>
        <w:t xml:space="preserve"> para los efectos de representación legal y administración del órgano autónomo. - - - - - - - - - - - - - - - - - - - - - - - - - - - - </w:t>
      </w:r>
    </w:p>
    <w:p w14:paraId="6D60AC09" w14:textId="77777777" w:rsidR="007B6BED" w:rsidRPr="009B5CA2" w:rsidRDefault="007B6BED" w:rsidP="00007541">
      <w:pPr>
        <w:pStyle w:val="Sinespaciado"/>
        <w:spacing w:line="360" w:lineRule="auto"/>
        <w:jc w:val="both"/>
        <w:rPr>
          <w:rFonts w:ascii="Arial" w:eastAsia="Calibri" w:hAnsi="Arial" w:cs="Arial"/>
        </w:rPr>
      </w:pPr>
      <w:r w:rsidRPr="009B5CA2">
        <w:rPr>
          <w:rFonts w:ascii="Arial" w:eastAsia="Calibri" w:hAnsi="Arial" w:cs="Arial"/>
          <w:b/>
        </w:rPr>
        <w:t>2.-</w:t>
      </w:r>
      <w:r w:rsidRPr="009B5CA2">
        <w:rPr>
          <w:rFonts w:ascii="Arial" w:eastAsia="Calibri" w:hAnsi="Arial" w:cs="Arial"/>
        </w:rPr>
        <w:t xml:space="preserve"> Con fecha doce de diciembre del dos </w:t>
      </w:r>
      <w:proofErr w:type="gramStart"/>
      <w:r w:rsidRPr="009B5CA2">
        <w:rPr>
          <w:rFonts w:ascii="Arial" w:eastAsia="Calibri" w:hAnsi="Arial" w:cs="Arial"/>
        </w:rPr>
        <w:t>mil veintiuno</w:t>
      </w:r>
      <w:proofErr w:type="gramEnd"/>
      <w:r w:rsidRPr="009B5CA2">
        <w:rPr>
          <w:rFonts w:ascii="Arial" w:eastAsia="Calibri" w:hAnsi="Arial" w:cs="Arial"/>
        </w:rPr>
        <w:t xml:space="preserve">, se celebró la Primera Sesión Ordinaria del 2021 del Consejo General del Órgano Garante de Acceso a la Información Pública, Transparencia, Protección de Datos Personales y Buen Gobierno del Estado de Oaxaca, misma en la que las Comisionadas y los Comisionados integrantes del Consejo General del este Órgano, en su dualidad de Sujeto Obligado y Órgano Garante tuvieron a bien designar a las y los integrantes del Comité de Transparencia. - - - - - - - - - - - - - - - - - - - - - - - - - - - - - - - - - - - - - - - </w:t>
      </w:r>
    </w:p>
    <w:p w14:paraId="30B4BF38" w14:textId="77777777" w:rsidR="007B6BED" w:rsidRPr="009B5CA2" w:rsidRDefault="007B6BED" w:rsidP="00007541">
      <w:pPr>
        <w:pStyle w:val="Sinespaciado"/>
        <w:spacing w:line="360" w:lineRule="auto"/>
        <w:jc w:val="both"/>
        <w:rPr>
          <w:rFonts w:ascii="Arial" w:eastAsia="Calibri" w:hAnsi="Arial" w:cs="Arial"/>
        </w:rPr>
      </w:pPr>
      <w:r w:rsidRPr="009B5CA2">
        <w:rPr>
          <w:rFonts w:ascii="Arial" w:eastAsia="Calibri" w:hAnsi="Arial" w:cs="Arial"/>
          <w:b/>
        </w:rPr>
        <w:lastRenderedPageBreak/>
        <w:t xml:space="preserve">3.- </w:t>
      </w:r>
      <w:r w:rsidRPr="009B5CA2">
        <w:rPr>
          <w:rFonts w:ascii="Arial" w:eastAsia="Calibri" w:hAnsi="Arial" w:cs="Arial"/>
        </w:rPr>
        <w:t xml:space="preserve">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aprobaron el Acuerdo OGAIPO/CG/01/2023, mismo en el que designaron al Comisionado Josué Solana Salmorán al cargo de Comisionado Presidente por el periodo que comprende del tres de enero al veintisiete de octubre del dos mil veintitrés. - - - - - - - - - - - - - - - - - - - - - - - - - - - - - - - - - - - - - - - - - - - - - </w:t>
      </w:r>
    </w:p>
    <w:p w14:paraId="21189B31" w14:textId="77777777" w:rsidR="007B6BED" w:rsidRPr="009B5CA2" w:rsidRDefault="007B6BED" w:rsidP="00007541">
      <w:pPr>
        <w:pStyle w:val="Sinespaciado"/>
        <w:spacing w:line="360" w:lineRule="auto"/>
        <w:jc w:val="both"/>
        <w:rPr>
          <w:rFonts w:ascii="Arial" w:eastAsia="Calibri" w:hAnsi="Arial" w:cs="Arial"/>
        </w:rPr>
      </w:pPr>
      <w:r w:rsidRPr="009B5CA2">
        <w:rPr>
          <w:rFonts w:ascii="Arial" w:eastAsia="Calibri" w:hAnsi="Arial" w:cs="Arial"/>
          <w:b/>
        </w:rPr>
        <w:t>4.-</w:t>
      </w:r>
      <w:r w:rsidRPr="009B5CA2">
        <w:rPr>
          <w:rFonts w:ascii="Arial" w:eastAsia="Calibri" w:hAnsi="Arial" w:cs="Arial"/>
        </w:rPr>
        <w:t xml:space="preserve"> Con fecha veintisiete de enero del dos mil veintitrés, se celebró la Segunda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OGAIPO/CG/008/2023, mediante el que designaron a las y los integrantes del Comité de Transparencia, del Responsable de la Unidad de Transparencia y personal habilitado de la misma, del Órgano Garante en su calidad de sujeto obligado. - - - - - - - - - - - - - - - - - - - - - - - - - - - - - - - - - - - - - - - - - - - - - - - - - - - - - -</w:t>
      </w:r>
    </w:p>
    <w:p w14:paraId="48066418" w14:textId="77777777" w:rsidR="007B6BED" w:rsidRPr="009B5CA2" w:rsidRDefault="007B6BED" w:rsidP="00007541">
      <w:pPr>
        <w:pStyle w:val="Sinespaciado"/>
        <w:spacing w:line="360" w:lineRule="auto"/>
        <w:jc w:val="both"/>
        <w:rPr>
          <w:rFonts w:ascii="Arial" w:eastAsia="Calibri" w:hAnsi="Arial" w:cs="Arial"/>
        </w:rPr>
      </w:pPr>
      <w:r w:rsidRPr="009B5CA2">
        <w:rPr>
          <w:rFonts w:ascii="Arial" w:eastAsia="Calibri" w:hAnsi="Arial" w:cs="Arial"/>
          <w:b/>
        </w:rPr>
        <w:t>5.-</w:t>
      </w:r>
      <w:r w:rsidRPr="009B5CA2">
        <w:rPr>
          <w:rFonts w:ascii="Arial" w:eastAsia="Calibri" w:hAnsi="Arial" w:cs="Arial"/>
        </w:rPr>
        <w:t xml:space="preserve"> Con fecha diez de octubre del dos mil veintitrés, las y los integrantes del Consejo General, celebraron la Décima Quinta Sesión Extraordinaria del año dos mil veintitrés, en la que aprobaron el Acuerdo OGAIPO/CG/088/2023, por el que ratificaron al Comisionado Josué Solana Salmorán como Comisionado </w:t>
      </w:r>
      <w:proofErr w:type="gramStart"/>
      <w:r w:rsidRPr="009B5CA2">
        <w:rPr>
          <w:rFonts w:ascii="Arial" w:eastAsia="Calibri" w:hAnsi="Arial" w:cs="Arial"/>
        </w:rPr>
        <w:t>Presidente</w:t>
      </w:r>
      <w:proofErr w:type="gramEnd"/>
      <w:r w:rsidRPr="009B5CA2">
        <w:rPr>
          <w:rFonts w:ascii="Arial" w:eastAsia="Calibri" w:hAnsi="Arial" w:cs="Arial"/>
        </w:rPr>
        <w:t xml:space="preserve"> del Consejo General y del Órgano Garante para completar un periodo de dos años, es decir hasta el tres de enero del dos mil veinticinco. - - - - - - - - - - - - - - - - - - - - - </w:t>
      </w:r>
    </w:p>
    <w:p w14:paraId="383AB686" w14:textId="77777777" w:rsidR="007B6BED" w:rsidRPr="009B5CA2" w:rsidRDefault="007B6BED" w:rsidP="00007541">
      <w:pPr>
        <w:pStyle w:val="Sinespaciado"/>
        <w:spacing w:line="360" w:lineRule="auto"/>
        <w:jc w:val="both"/>
        <w:rPr>
          <w:rFonts w:ascii="Arial" w:eastAsia="Calibri" w:hAnsi="Arial" w:cs="Arial"/>
        </w:rPr>
      </w:pPr>
      <w:r w:rsidRPr="009B5CA2">
        <w:rPr>
          <w:rFonts w:ascii="Arial" w:eastAsia="Calibri" w:hAnsi="Arial" w:cs="Arial"/>
          <w:b/>
        </w:rPr>
        <w:t>6.-</w:t>
      </w:r>
      <w:r w:rsidRPr="009B5CA2">
        <w:rPr>
          <w:rFonts w:ascii="Arial" w:eastAsia="Calibri" w:hAnsi="Arial" w:cs="Arial"/>
        </w:rPr>
        <w:t xml:space="preserve"> Con fecha veintidós de noviembre del dos mil veintitrés, se celebró la Vigésima Primera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OGAIPO/CG/103/2023, mediante el que designaron al Presidente y a la Vocal Segunda del Comité de Transparencia así como a la Responsable de la Unidad de Transparencia del Órgano Garante en su calidad de sujeto obligado. - - - </w:t>
      </w:r>
    </w:p>
    <w:p w14:paraId="3F79094C" w14:textId="77777777" w:rsidR="007B6BED" w:rsidRPr="009B5CA2" w:rsidRDefault="007B6BED" w:rsidP="00007541">
      <w:pPr>
        <w:pStyle w:val="Sinespaciado"/>
        <w:spacing w:line="360" w:lineRule="auto"/>
        <w:jc w:val="both"/>
        <w:rPr>
          <w:rFonts w:ascii="Arial" w:eastAsia="Calibri" w:hAnsi="Arial" w:cs="Arial"/>
        </w:rPr>
      </w:pPr>
      <w:r w:rsidRPr="009B5CA2">
        <w:rPr>
          <w:rFonts w:ascii="Arial" w:eastAsia="Calibri" w:hAnsi="Arial" w:cs="Arial"/>
          <w:b/>
          <w:bCs/>
        </w:rPr>
        <w:t xml:space="preserve">7.- </w:t>
      </w:r>
      <w:r w:rsidRPr="009B5CA2">
        <w:rPr>
          <w:rFonts w:ascii="Arial" w:eastAsia="Calibri" w:hAnsi="Arial" w:cs="Arial"/>
        </w:rPr>
        <w:t xml:space="preserve">Con fecha veintidós de octubre del dos mil veinticuatro, fenecieron los nombramientos de los CC. Xóchitl Elizabeth Méndez Sánchez y José Luis Echeverría Morales, como Comisionados e integrantes del Consejo General del </w:t>
      </w:r>
      <w:r w:rsidRPr="009B5CA2">
        <w:rPr>
          <w:rFonts w:ascii="Arial" w:eastAsia="Calibri" w:hAnsi="Arial" w:cs="Arial"/>
        </w:rPr>
        <w:lastRenderedPageBreak/>
        <w:t>Órgano Garante, de acuerdo a los decretos 2890</w:t>
      </w:r>
      <w:r w:rsidRPr="009B5CA2">
        <w:rPr>
          <w:rFonts w:ascii="Arial" w:eastAsia="Calibri" w:hAnsi="Arial" w:cs="Arial"/>
          <w:vertAlign w:val="superscript"/>
        </w:rPr>
        <w:footnoteReference w:id="1"/>
      </w:r>
      <w:r w:rsidRPr="009B5CA2">
        <w:rPr>
          <w:rFonts w:ascii="Arial" w:eastAsia="Calibri" w:hAnsi="Arial" w:cs="Arial"/>
        </w:rPr>
        <w:t xml:space="preserve"> y 2891</w:t>
      </w:r>
      <w:r w:rsidRPr="009B5CA2">
        <w:rPr>
          <w:rFonts w:ascii="Arial" w:eastAsia="Calibri" w:hAnsi="Arial" w:cs="Arial"/>
          <w:vertAlign w:val="superscript"/>
        </w:rPr>
        <w:footnoteReference w:id="2"/>
      </w:r>
      <w:r w:rsidRPr="009B5CA2">
        <w:rPr>
          <w:rFonts w:ascii="Arial" w:eastAsia="Calibri" w:hAnsi="Arial" w:cs="Arial"/>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 - - - - - - - - - - - - - - - - - - - - - - - - - - - - - - - - - </w:t>
      </w:r>
    </w:p>
    <w:p w14:paraId="2166818D" w14:textId="77777777" w:rsidR="007B6BED" w:rsidRPr="009B5CA2" w:rsidRDefault="007B6BED" w:rsidP="00007541">
      <w:pPr>
        <w:pStyle w:val="Sinespaciado"/>
        <w:spacing w:line="360" w:lineRule="auto"/>
        <w:jc w:val="both"/>
        <w:rPr>
          <w:rFonts w:ascii="Arial" w:eastAsia="Calibri" w:hAnsi="Arial" w:cs="Arial"/>
        </w:rPr>
      </w:pPr>
      <w:r w:rsidRPr="009B5CA2">
        <w:rPr>
          <w:rFonts w:ascii="Arial" w:eastAsia="Calibri" w:hAnsi="Arial" w:cs="Arial"/>
          <w:b/>
        </w:rPr>
        <w:t>8.-</w:t>
      </w:r>
      <w:r w:rsidRPr="009B5CA2">
        <w:rPr>
          <w:rFonts w:ascii="Arial" w:eastAsia="Calibri" w:hAnsi="Arial" w:cs="Arial"/>
        </w:rPr>
        <w:t xml:space="preserve"> Con fecha seis de noviembre del dos mil veinticuatro, se celebró la Décima Novena Sesión Extraordinaria del 2024 del Consejo General del Órgano Garante de Acceso a la Información Pública, Transparencia, Protección de Datos Personales y Buen Gobierno del Estado de Oaxaca, misma en la que las Comisionadas y el Comisionado integrantes del Consejo General del este Órgano, aprobaron el Acuerdo OGAIPO/CG/126/2024, mediante el que designaron al Vocal Segundo del Comité de Transparencia así como al Responsable de la Unidad de Transparencia del Órgano Garante en su calidad de sujeto obligado. - - - - - - - - - - - - - - - - - - - - - </w:t>
      </w:r>
    </w:p>
    <w:p w14:paraId="7484C900" w14:textId="77777777" w:rsidR="007B6BED" w:rsidRPr="009B5CA2" w:rsidRDefault="007B6BED" w:rsidP="00007541">
      <w:pPr>
        <w:pStyle w:val="Sinespaciado"/>
        <w:spacing w:line="360" w:lineRule="auto"/>
        <w:jc w:val="both"/>
        <w:rPr>
          <w:rFonts w:ascii="Arial" w:eastAsia="Calibri" w:hAnsi="Arial" w:cs="Arial"/>
        </w:rPr>
      </w:pPr>
      <w:r w:rsidRPr="009B5CA2">
        <w:rPr>
          <w:rFonts w:ascii="Arial" w:eastAsia="Calibri" w:hAnsi="Arial" w:cs="Arial"/>
          <w:b/>
          <w:bCs/>
        </w:rPr>
        <w:t xml:space="preserve">9.- </w:t>
      </w:r>
      <w:r w:rsidRPr="009B5CA2">
        <w:rPr>
          <w:rFonts w:ascii="Arial" w:eastAsia="Calibri" w:hAnsi="Arial" w:cs="Arial"/>
        </w:rPr>
        <w:t xml:space="preserve">Con fecha veinticinco de noviembre del dos mil veinticuatro, presentó su renuncia al cargo de Comisionada la Ciudadana María Tanivet Ramos Reyes, ante el Honorable Congreso del Estado Libre y Soberano de Oaxaca, por así corresponder a sus intereses. - - - - - - - - - - - - - - - - - - - - - - - - - - - - - - - - - - - - - - - - - - - - - - - - - </w:t>
      </w:r>
    </w:p>
    <w:p w14:paraId="251FE97B" w14:textId="77777777" w:rsidR="007B6BED" w:rsidRPr="009B5CA2" w:rsidRDefault="007B6BED" w:rsidP="00007541">
      <w:pPr>
        <w:pStyle w:val="Sinespaciado"/>
        <w:spacing w:line="360" w:lineRule="auto"/>
        <w:jc w:val="both"/>
        <w:rPr>
          <w:rFonts w:ascii="Arial" w:eastAsia="Calibri" w:hAnsi="Arial" w:cs="Arial"/>
        </w:rPr>
      </w:pPr>
      <w:r w:rsidRPr="009B5CA2">
        <w:rPr>
          <w:rFonts w:ascii="Arial" w:eastAsia="Calibri" w:hAnsi="Arial" w:cs="Arial"/>
          <w:b/>
          <w:bCs/>
        </w:rPr>
        <w:t xml:space="preserve">10.- </w:t>
      </w:r>
      <w:r w:rsidRPr="009B5CA2">
        <w:rPr>
          <w:rFonts w:ascii="Arial" w:eastAsia="Calibri" w:hAnsi="Arial" w:cs="Arial"/>
        </w:rPr>
        <w:t>Con fecha tres de enero del dos mil veinticinco, los integrantes del Consejo General, celebraron la Primera Sesión Solemne del año dos mil veinticinco en la que aprobaron el Acuerdo OGAIPO/CG/001/2025</w:t>
      </w:r>
      <w:r w:rsidRPr="009B5CA2">
        <w:rPr>
          <w:rFonts w:ascii="Arial" w:eastAsia="Calibri" w:hAnsi="Arial" w:cs="Arial"/>
          <w:vertAlign w:val="superscript"/>
        </w:rPr>
        <w:footnoteReference w:id="3"/>
      </w:r>
      <w:r w:rsidRPr="009B5CA2">
        <w:rPr>
          <w:rFonts w:ascii="Arial" w:eastAsia="Calibri" w:hAnsi="Arial" w:cs="Arial"/>
        </w:rPr>
        <w:t xml:space="preserve">, por el que se designó al Comisionado Josué Solana Salmorán como Comisionado </w:t>
      </w:r>
      <w:proofErr w:type="gramStart"/>
      <w:r w:rsidRPr="009B5CA2">
        <w:rPr>
          <w:rFonts w:ascii="Arial" w:eastAsia="Calibri" w:hAnsi="Arial" w:cs="Arial"/>
        </w:rPr>
        <w:t>Presidente</w:t>
      </w:r>
      <w:proofErr w:type="gramEnd"/>
      <w:r w:rsidRPr="009B5CA2">
        <w:rPr>
          <w:rFonts w:ascii="Arial" w:eastAsia="Calibri" w:hAnsi="Arial" w:cs="Arial"/>
        </w:rPr>
        <w:t xml:space="preserve"> del Consejo General y del Órgano Garante hasta su extinción conforme al contenido de la reforma constitucional en materia de simplificación orgánica. - - - - - - - - - - - - - - - - </w:t>
      </w:r>
    </w:p>
    <w:p w14:paraId="544CDD7D" w14:textId="2971A0A6" w:rsidR="007B6BED" w:rsidRDefault="007B6BED" w:rsidP="00007541">
      <w:pPr>
        <w:pStyle w:val="Sinespaciado"/>
        <w:spacing w:line="360" w:lineRule="auto"/>
        <w:jc w:val="both"/>
        <w:rPr>
          <w:rFonts w:ascii="Arial" w:eastAsia="Calibri" w:hAnsi="Arial" w:cs="Arial"/>
        </w:rPr>
      </w:pPr>
      <w:r w:rsidRPr="009B5CA2">
        <w:rPr>
          <w:rFonts w:ascii="Arial" w:eastAsia="Calibri" w:hAnsi="Arial" w:cs="Arial"/>
          <w:b/>
          <w:bCs/>
        </w:rPr>
        <w:t xml:space="preserve">11.- </w:t>
      </w:r>
      <w:r w:rsidRPr="009B5CA2">
        <w:rPr>
          <w:rFonts w:ascii="Arial" w:eastAsia="Calibri" w:hAnsi="Arial" w:cs="Arial"/>
        </w:rPr>
        <w:t xml:space="preserve">Con fecha diecisiete de enero del dos mil veinticinco, se celebró la Primera Sesión Ordinaria del 2025 del Consejo General del Órgano Garante de Acceso a la Información Pública, Transparencia, Protección de Datos Personales y Buen Gobierno del Estado de Oaxaca, misma en la que la Comisionada y el Comisionado integrantes del Consejo General del este Órgano, aprobaron el Acuerdo OGAIPO/CG/012/2025, mediante el que designaron a las y los integrantes del Comité de Transparencia, así como al Responsable de la Unidad de Transparencia </w:t>
      </w:r>
      <w:r w:rsidRPr="009B5CA2">
        <w:rPr>
          <w:rFonts w:ascii="Arial" w:eastAsia="Calibri" w:hAnsi="Arial" w:cs="Arial"/>
        </w:rPr>
        <w:lastRenderedPageBreak/>
        <w:t>y Personal Habilitado de la Unidad, del Órgano Garante en su calidad de sujeto obligado</w:t>
      </w:r>
      <w:r w:rsidR="00C93AC8">
        <w:rPr>
          <w:rFonts w:ascii="Arial" w:eastAsia="Calibri" w:hAnsi="Arial" w:cs="Arial"/>
        </w:rPr>
        <w:t>.</w:t>
      </w:r>
      <w:r w:rsidRPr="009B5CA2">
        <w:rPr>
          <w:rFonts w:ascii="Arial" w:eastAsia="Calibri" w:hAnsi="Arial" w:cs="Arial"/>
        </w:rPr>
        <w:t xml:space="preserve"> - - - - - - - - - - - - - - - - - - - - - - - - - - - - - - - - - - - - - - - - - - - - - - - - - - - - </w:t>
      </w:r>
      <w:r w:rsidR="00C93AC8">
        <w:rPr>
          <w:rFonts w:ascii="Arial" w:eastAsia="Calibri" w:hAnsi="Arial" w:cs="Arial"/>
        </w:rPr>
        <w:t xml:space="preserve">- - </w:t>
      </w:r>
    </w:p>
    <w:p w14:paraId="5E8011B3" w14:textId="0E8BB694" w:rsidR="00C93AC8" w:rsidRDefault="00C93AC8" w:rsidP="00007541">
      <w:pPr>
        <w:spacing w:line="360" w:lineRule="auto"/>
        <w:jc w:val="both"/>
        <w:rPr>
          <w:rFonts w:ascii="Arial" w:eastAsia="Arial" w:hAnsi="Arial" w:cs="Arial"/>
          <w:color w:val="000000"/>
        </w:rPr>
      </w:pPr>
      <w:r>
        <w:rPr>
          <w:rFonts w:ascii="Arial" w:eastAsia="Arial" w:hAnsi="Arial" w:cs="Arial"/>
          <w:b/>
          <w:color w:val="000000"/>
        </w:rPr>
        <w:t xml:space="preserve">12.- </w:t>
      </w:r>
      <w:r>
        <w:rPr>
          <w:rFonts w:ascii="Arial" w:eastAsia="Arial" w:hAnsi="Arial" w:cs="Arial"/>
          <w:color w:val="000000"/>
        </w:rPr>
        <w:t>Con fecha veinte de marzo del dos mil veinticinco, fue publicado en el Diario Oficial de la Federación, el Decreto por el que el Congreso General de los Estados Unidos Mexicanos, tuvo a bien expedir la Ley General de Transparencia y Acceso a la Información Pública</w:t>
      </w:r>
      <w:r>
        <w:rPr>
          <w:rFonts w:ascii="Arial" w:eastAsia="Arial" w:hAnsi="Arial" w:cs="Arial"/>
          <w:color w:val="000000"/>
          <w:vertAlign w:val="superscript"/>
        </w:rPr>
        <w:footnoteReference w:id="4"/>
      </w:r>
      <w:r>
        <w:rPr>
          <w:rFonts w:ascii="Arial" w:eastAsia="Arial" w:hAnsi="Arial" w:cs="Arial"/>
          <w:color w:val="000000"/>
        </w:rPr>
        <w:t>; la Ley General de Protección de Datos Personales en Posesión de Sujetos Obligados</w:t>
      </w:r>
      <w:r>
        <w:rPr>
          <w:rFonts w:ascii="Arial" w:eastAsia="Arial" w:hAnsi="Arial" w:cs="Arial"/>
          <w:color w:val="000000"/>
          <w:vertAlign w:val="superscript"/>
        </w:rPr>
        <w:footnoteReference w:id="5"/>
      </w:r>
      <w:r>
        <w:rPr>
          <w:rFonts w:ascii="Arial" w:eastAsia="Arial" w:hAnsi="Arial" w:cs="Arial"/>
          <w:color w:val="000000"/>
        </w:rPr>
        <w:t xml:space="preserve"> y la Ley Federal de Protección de Datos Personales en Posesión de los Particulares, ordenamientos jurídicos de plena vigencia y aplicación general a partir de su publicación. - - - - - - - - - - - - - - - - - - - - - - - - - - - - </w:t>
      </w:r>
    </w:p>
    <w:p w14:paraId="7233DF1C" w14:textId="586A06B7" w:rsidR="00C93AC8" w:rsidRDefault="00C93AC8" w:rsidP="00007541">
      <w:pPr>
        <w:spacing w:line="360" w:lineRule="auto"/>
        <w:jc w:val="both"/>
        <w:rPr>
          <w:rFonts w:ascii="Arial" w:eastAsia="Arial" w:hAnsi="Arial" w:cs="Arial"/>
          <w:color w:val="000000"/>
        </w:rPr>
      </w:pPr>
      <w:r>
        <w:rPr>
          <w:rFonts w:ascii="Arial" w:eastAsia="Arial" w:hAnsi="Arial" w:cs="Arial"/>
          <w:b/>
          <w:color w:val="000000"/>
        </w:rPr>
        <w:t xml:space="preserve">13.- </w:t>
      </w:r>
      <w:r>
        <w:rPr>
          <w:rFonts w:ascii="Arial" w:eastAsia="Arial" w:hAnsi="Arial" w:cs="Arial"/>
          <w:color w:val="000000"/>
        </w:rPr>
        <w:t xml:space="preserve">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 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 - - - - - - - - - - - - - - - - - - - - - - - - - - - - - - - - - - - - - - - - - - - - - - - - - - - - - </w:t>
      </w:r>
    </w:p>
    <w:p w14:paraId="4B032244" w14:textId="4D0FE9E8" w:rsidR="00C93AC8" w:rsidRDefault="00C93AC8" w:rsidP="00007541">
      <w:pPr>
        <w:spacing w:line="360" w:lineRule="auto"/>
        <w:jc w:val="both"/>
        <w:rPr>
          <w:rFonts w:ascii="Arial" w:eastAsia="Arial" w:hAnsi="Arial" w:cs="Arial"/>
          <w:color w:val="000000"/>
        </w:rPr>
      </w:pPr>
      <w:r>
        <w:rPr>
          <w:rFonts w:ascii="Arial" w:eastAsia="Arial" w:hAnsi="Arial" w:cs="Arial"/>
          <w:b/>
          <w:color w:val="000000"/>
        </w:rPr>
        <w:t xml:space="preserve">14.- </w:t>
      </w:r>
      <w:r>
        <w:rPr>
          <w:rFonts w:ascii="Arial" w:eastAsia="Arial" w:hAnsi="Arial" w:cs="Arial"/>
          <w:color w:val="000000"/>
        </w:rPr>
        <w:t>Con fecha nueve de septiembre del dos mil veinticinco, se celebró la Décima Segunda Sesión Extraordinaria del 2025 del Consejo General del Órgano Garante de Acceso a la Información Pública, Transparencia, Protección de Datos Personales y Buen Gobierno del Estado de Oaxaca, misma en la que la Comisionada y el Comisionado Presidente integrantes del Consejo General de este Órgano, aprobaron el Acuerdo OGAIPO/CG/</w:t>
      </w:r>
      <w:r>
        <w:rPr>
          <w:rFonts w:ascii="Arial" w:eastAsia="Arial" w:hAnsi="Arial" w:cs="Arial"/>
        </w:rPr>
        <w:t>095</w:t>
      </w:r>
      <w:r>
        <w:rPr>
          <w:rFonts w:ascii="Arial" w:eastAsia="Arial" w:hAnsi="Arial" w:cs="Arial"/>
          <w:color w:val="000000"/>
        </w:rPr>
        <w:t>/202</w:t>
      </w:r>
      <w:r>
        <w:rPr>
          <w:rFonts w:ascii="Arial" w:eastAsia="Arial" w:hAnsi="Arial" w:cs="Arial"/>
        </w:rPr>
        <w:t>5</w:t>
      </w:r>
      <w:r>
        <w:rPr>
          <w:rFonts w:ascii="Arial" w:eastAsia="Arial" w:hAnsi="Arial" w:cs="Arial"/>
          <w:color w:val="000000"/>
        </w:rPr>
        <w:t xml:space="preserve">, mediante el que designaron al Vocal Segundo del Comité de Transparencia del Órgano Garante en su calidad de sujeto obligado; y - - - - - - - - - - - - - - - - - - - - - - - - - - - - - - - - - - - - - - - - - - - - - - - - - - - - </w:t>
      </w:r>
    </w:p>
    <w:p w14:paraId="0A58BD17" w14:textId="77777777" w:rsidR="007B6BED" w:rsidRPr="009B5CA2" w:rsidRDefault="007B6BED" w:rsidP="00007541">
      <w:pPr>
        <w:pStyle w:val="Sinespaciado"/>
        <w:spacing w:line="360" w:lineRule="auto"/>
        <w:jc w:val="both"/>
        <w:rPr>
          <w:rFonts w:ascii="Arial" w:eastAsia="Calibri" w:hAnsi="Arial" w:cs="Arial"/>
          <w:b/>
          <w:lang w:val="es-ES_tradnl"/>
        </w:rPr>
      </w:pPr>
    </w:p>
    <w:p w14:paraId="4D256BA4" w14:textId="5567CE0D" w:rsidR="000C5A40" w:rsidRPr="009B5CA2" w:rsidRDefault="000C5A40" w:rsidP="00007541">
      <w:pPr>
        <w:pStyle w:val="Sinespaciado"/>
        <w:spacing w:line="360" w:lineRule="auto"/>
        <w:jc w:val="center"/>
        <w:rPr>
          <w:rFonts w:ascii="Arial" w:eastAsia="Calibri" w:hAnsi="Arial" w:cs="Arial"/>
          <w:b/>
          <w:lang w:val="es-ES_tradnl"/>
        </w:rPr>
      </w:pPr>
      <w:r w:rsidRPr="009B5CA2">
        <w:rPr>
          <w:rFonts w:ascii="Arial" w:eastAsia="Calibri" w:hAnsi="Arial" w:cs="Arial"/>
          <w:b/>
          <w:lang w:val="es-ES_tradnl"/>
        </w:rPr>
        <w:t>C O N S I D E R A N D O:</w:t>
      </w:r>
    </w:p>
    <w:p w14:paraId="2F9F3DE2" w14:textId="77777777" w:rsidR="000C5A40" w:rsidRPr="009B5CA2" w:rsidRDefault="000C5A40" w:rsidP="00007541">
      <w:pPr>
        <w:pStyle w:val="Sinespaciado"/>
        <w:spacing w:line="360" w:lineRule="auto"/>
        <w:jc w:val="both"/>
        <w:rPr>
          <w:rFonts w:ascii="Arial" w:eastAsia="Calibri" w:hAnsi="Arial" w:cs="Arial"/>
          <w:b/>
          <w:lang w:val="es-ES_tradnl"/>
        </w:rPr>
      </w:pPr>
    </w:p>
    <w:p w14:paraId="1CB28919" w14:textId="77777777" w:rsidR="00C93AC8" w:rsidRDefault="00C93AC8" w:rsidP="00007541">
      <w:pPr>
        <w:spacing w:line="360" w:lineRule="auto"/>
        <w:jc w:val="both"/>
        <w:rPr>
          <w:rFonts w:ascii="Arial" w:eastAsia="Calibri" w:hAnsi="Arial" w:cs="Arial"/>
          <w:bCs/>
        </w:rPr>
      </w:pPr>
      <w:r w:rsidRPr="00FB0FCA">
        <w:rPr>
          <w:rFonts w:ascii="Arial" w:eastAsia="Calibri" w:hAnsi="Arial" w:cs="Arial"/>
          <w:b/>
          <w:bCs/>
        </w:rPr>
        <w:t>PRIMERO.</w:t>
      </w:r>
      <w:r w:rsidRPr="00FB0FCA">
        <w:rPr>
          <w:rFonts w:ascii="Arial" w:eastAsia="Calibri" w:hAnsi="Arial" w:cs="Arial"/>
          <w:bCs/>
        </w:rPr>
        <w:t xml:space="preserve"> Con fundamento en lo dispuesto por los artículos </w:t>
      </w:r>
      <w:r>
        <w:rPr>
          <w:rFonts w:ascii="Arial" w:eastAsia="Calibri" w:hAnsi="Arial" w:cs="Arial"/>
          <w:bCs/>
        </w:rPr>
        <w:t>40</w:t>
      </w:r>
      <w:r w:rsidRPr="00FB0FCA">
        <w:rPr>
          <w:rFonts w:ascii="Arial" w:eastAsia="Calibri" w:hAnsi="Arial" w:cs="Arial"/>
          <w:bCs/>
        </w:rPr>
        <w:t xml:space="preserve"> fracción II de la Ley General de Transparencia y Acceso a la Información Pública</w:t>
      </w:r>
      <w:r>
        <w:rPr>
          <w:rFonts w:ascii="Arial" w:eastAsia="Calibri" w:hAnsi="Arial" w:cs="Arial"/>
          <w:bCs/>
        </w:rPr>
        <w:t xml:space="preserve">, </w:t>
      </w:r>
      <w:r w:rsidRPr="00FB0FCA">
        <w:rPr>
          <w:rFonts w:ascii="Arial" w:eastAsia="Calibri" w:hAnsi="Arial" w:cs="Arial"/>
          <w:bCs/>
        </w:rPr>
        <w:t xml:space="preserve">73 fracción II de la Ley de Transparencia, Acceso a la Información Pública y Buen Gobierno del Estado de Oaxaca, </w:t>
      </w:r>
      <w:r>
        <w:rPr>
          <w:rFonts w:ascii="Arial" w:eastAsia="Calibri" w:hAnsi="Arial" w:cs="Arial"/>
          <w:bCs/>
        </w:rPr>
        <w:t>en relación con el numeral</w:t>
      </w:r>
      <w:r w:rsidRPr="00FB0FCA">
        <w:rPr>
          <w:rFonts w:ascii="Arial" w:eastAsia="Calibri" w:hAnsi="Arial" w:cs="Arial"/>
          <w:bCs/>
        </w:rPr>
        <w:t xml:space="preserve"> 14 fracción XIV del Reglamento Interno del </w:t>
      </w:r>
      <w:r w:rsidRPr="00FB0FCA">
        <w:rPr>
          <w:rFonts w:ascii="Arial" w:eastAsia="Calibri" w:hAnsi="Arial" w:cs="Arial"/>
          <w:bCs/>
        </w:rPr>
        <w:lastRenderedPageBreak/>
        <w:t>Comité de Transparencia del Órgano Garante de Acceso a la Información Pública, Transparencia, Protección de Datos Personales y Buen Gobierno del Estado de Oaxaca</w:t>
      </w:r>
      <w:r>
        <w:rPr>
          <w:rFonts w:ascii="Arial" w:eastAsia="Calibri" w:hAnsi="Arial" w:cs="Arial"/>
          <w:bCs/>
        </w:rPr>
        <w:t>;</w:t>
      </w:r>
      <w:r w:rsidRPr="00FB0FCA">
        <w:rPr>
          <w:rFonts w:ascii="Arial" w:eastAsia="Calibri" w:hAnsi="Arial" w:cs="Arial"/>
          <w:bCs/>
        </w:rPr>
        <w:t xml:space="preserve"> el Comité de Transparencia del Órgano Garante, es competente para confirmar, modificar o revocar las determinaciones que, </w:t>
      </w:r>
      <w:r w:rsidRPr="00E82075">
        <w:rPr>
          <w:rFonts w:ascii="Arial" w:eastAsia="Calibri" w:hAnsi="Arial" w:cs="Arial"/>
          <w:bCs/>
        </w:rPr>
        <w:t xml:space="preserve">en materia de clasificación de la información </w:t>
      </w:r>
      <w:r>
        <w:rPr>
          <w:rFonts w:ascii="Arial" w:eastAsia="Calibri" w:hAnsi="Arial" w:cs="Arial"/>
          <w:bCs/>
        </w:rPr>
        <w:t xml:space="preserve">como reservada y/o confidencial, </w:t>
      </w:r>
      <w:r w:rsidRPr="00E82075">
        <w:rPr>
          <w:rFonts w:ascii="Arial" w:eastAsia="Calibri" w:hAnsi="Arial" w:cs="Arial"/>
          <w:bCs/>
        </w:rPr>
        <w:t>y declaración de inexistencia o de incompetencia</w:t>
      </w:r>
      <w:r>
        <w:rPr>
          <w:rFonts w:ascii="Arial" w:eastAsia="Calibri" w:hAnsi="Arial" w:cs="Arial"/>
          <w:bCs/>
        </w:rPr>
        <w:t xml:space="preserve">, realicen </w:t>
      </w:r>
      <w:r w:rsidRPr="00FB0FCA">
        <w:rPr>
          <w:rFonts w:ascii="Arial" w:eastAsia="Calibri" w:hAnsi="Arial" w:cs="Arial"/>
          <w:bCs/>
        </w:rPr>
        <w:t xml:space="preserve">las y los titulares de las </w:t>
      </w:r>
      <w:r>
        <w:rPr>
          <w:rFonts w:ascii="Arial" w:eastAsia="Calibri" w:hAnsi="Arial" w:cs="Arial"/>
          <w:bCs/>
        </w:rPr>
        <w:t>unidades</w:t>
      </w:r>
      <w:r w:rsidRPr="00FB0FCA">
        <w:rPr>
          <w:rFonts w:ascii="Arial" w:eastAsia="Calibri" w:hAnsi="Arial" w:cs="Arial"/>
          <w:bCs/>
        </w:rPr>
        <w:t xml:space="preserve"> administrativas. - - - - </w:t>
      </w:r>
    </w:p>
    <w:p w14:paraId="08424B6B" w14:textId="77777777" w:rsidR="00C93AC8" w:rsidRDefault="00C93AC8" w:rsidP="00007541">
      <w:pPr>
        <w:spacing w:line="360" w:lineRule="auto"/>
        <w:jc w:val="both"/>
        <w:rPr>
          <w:rFonts w:ascii="Arial" w:eastAsia="Calibri" w:hAnsi="Arial" w:cs="Arial"/>
          <w:bCs/>
        </w:rPr>
      </w:pPr>
      <w:r>
        <w:rPr>
          <w:rFonts w:ascii="Arial" w:eastAsia="Calibri" w:hAnsi="Arial" w:cs="Arial"/>
          <w:b/>
        </w:rPr>
        <w:t xml:space="preserve">SEGUNDO. </w:t>
      </w:r>
      <w:r w:rsidRPr="00FD6854">
        <w:rPr>
          <w:rFonts w:ascii="Arial" w:eastAsia="Calibri" w:hAnsi="Arial" w:cs="Arial"/>
          <w:bCs/>
        </w:rPr>
        <w:t>Los artículos 6° de la Constitución Política de los Estados Unidos Mexicanos, 4° de la Ley General de Transparencia, Acceso a la Información Pública,</w:t>
      </w:r>
      <w:r>
        <w:rPr>
          <w:rFonts w:ascii="Arial" w:eastAsia="Calibri" w:hAnsi="Arial" w:cs="Arial"/>
          <w:bCs/>
        </w:rPr>
        <w:t xml:space="preserve"> y 2 de la Ley de Transparencia, Acceso a la Información Pública y Buen Gobierno del Estado de Oaxaca,</w:t>
      </w:r>
      <w:r w:rsidRPr="00FD6854">
        <w:rPr>
          <w:rFonts w:ascii="Arial" w:eastAsia="Calibri" w:hAnsi="Arial" w:cs="Arial"/>
          <w:bCs/>
        </w:rPr>
        <w:t xml:space="preserve"> señalan que toda la información generada, obtenida, adquirida, transformada o en posesión de los sujetos obligados en el ámbito federal, es pública, accesible a cualquier persona y sólo podrá ser clasificada excepcionalmente como reservada de forma temporal por razones de interés público y seguridad nacional o bien, como confidencial.</w:t>
      </w:r>
      <w:r>
        <w:rPr>
          <w:rFonts w:ascii="Arial" w:eastAsia="Calibri" w:hAnsi="Arial" w:cs="Arial"/>
          <w:bCs/>
        </w:rPr>
        <w:t xml:space="preserve"> - - - - - - - - - - - - - - - - - - - - </w:t>
      </w:r>
    </w:p>
    <w:p w14:paraId="7253F859" w14:textId="77777777" w:rsidR="00C93AC8" w:rsidRDefault="00C93AC8" w:rsidP="00007541">
      <w:pPr>
        <w:spacing w:line="360" w:lineRule="auto"/>
        <w:jc w:val="both"/>
        <w:rPr>
          <w:rFonts w:ascii="Arial" w:eastAsia="Calibri" w:hAnsi="Arial" w:cs="Arial"/>
          <w:bCs/>
        </w:rPr>
      </w:pPr>
      <w:r>
        <w:rPr>
          <w:rFonts w:ascii="Arial" w:eastAsia="Calibri" w:hAnsi="Arial" w:cs="Arial"/>
          <w:b/>
        </w:rPr>
        <w:t xml:space="preserve">TERCERO. </w:t>
      </w:r>
      <w:r w:rsidRPr="00791AE8">
        <w:rPr>
          <w:rFonts w:ascii="Arial" w:eastAsia="Calibri" w:hAnsi="Arial" w:cs="Arial"/>
          <w:bCs/>
        </w:rPr>
        <w:t xml:space="preserve">La Ley General de Transparencia y Acceso a la Información Pública, en su Título Sexto relativo a la “Información Clasificada”, Capítulos II “De la información Reservada”, III “De la Información Confidencial” y IV “De las Versiones Públicas”; así como la Ley </w:t>
      </w:r>
      <w:r>
        <w:rPr>
          <w:rFonts w:ascii="Arial" w:eastAsia="Calibri" w:hAnsi="Arial" w:cs="Arial"/>
          <w:bCs/>
        </w:rPr>
        <w:t>de Transparencia, Acceso a la Información Pública y Buen Gobierno del Estado de Oaxaca</w:t>
      </w:r>
      <w:r w:rsidRPr="00791AE8">
        <w:rPr>
          <w:rFonts w:ascii="Arial" w:eastAsia="Calibri" w:hAnsi="Arial" w:cs="Arial"/>
          <w:bCs/>
        </w:rPr>
        <w:t xml:space="preserve">, en su Título </w:t>
      </w:r>
      <w:r>
        <w:rPr>
          <w:rFonts w:ascii="Arial" w:eastAsia="Calibri" w:hAnsi="Arial" w:cs="Arial"/>
          <w:bCs/>
        </w:rPr>
        <w:t>Tercero</w:t>
      </w:r>
      <w:r w:rsidRPr="00791AE8">
        <w:rPr>
          <w:rFonts w:ascii="Arial" w:eastAsia="Calibri" w:hAnsi="Arial" w:cs="Arial"/>
          <w:bCs/>
        </w:rPr>
        <w:t xml:space="preserve">, correspondiente a “Disposiciones Generales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 xml:space="preserve">a Clasificación </w:t>
      </w:r>
      <w:r>
        <w:rPr>
          <w:rFonts w:ascii="Arial" w:eastAsia="Calibri" w:hAnsi="Arial" w:cs="Arial"/>
          <w:bCs/>
        </w:rPr>
        <w:t>y</w:t>
      </w:r>
      <w:r w:rsidRPr="00791AE8">
        <w:rPr>
          <w:rFonts w:ascii="Arial" w:eastAsia="Calibri" w:hAnsi="Arial" w:cs="Arial"/>
          <w:bCs/>
        </w:rPr>
        <w:t xml:space="preserve"> Desclasificación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a</w:t>
      </w:r>
      <w:r>
        <w:rPr>
          <w:rFonts w:ascii="Arial" w:eastAsia="Calibri" w:hAnsi="Arial" w:cs="Arial"/>
          <w:bCs/>
        </w:rPr>
        <w:t xml:space="preserve"> </w:t>
      </w:r>
      <w:r w:rsidRPr="00791AE8">
        <w:rPr>
          <w:rFonts w:ascii="Arial" w:eastAsia="Calibri" w:hAnsi="Arial" w:cs="Arial"/>
          <w:bCs/>
        </w:rPr>
        <w:t>Información”, Capítulos I “</w:t>
      </w:r>
      <w:r>
        <w:rPr>
          <w:rFonts w:ascii="Arial" w:eastAsia="Calibri" w:hAnsi="Arial" w:cs="Arial"/>
          <w:bCs/>
        </w:rPr>
        <w:t>I</w:t>
      </w:r>
      <w:r w:rsidRPr="00791AE8">
        <w:rPr>
          <w:rFonts w:ascii="Arial" w:eastAsia="Calibri" w:hAnsi="Arial" w:cs="Arial"/>
          <w:bCs/>
        </w:rPr>
        <w:t xml:space="preserve">nformación Reservada”, </w:t>
      </w:r>
      <w:r>
        <w:rPr>
          <w:rFonts w:ascii="Arial" w:eastAsia="Calibri" w:hAnsi="Arial" w:cs="Arial"/>
          <w:bCs/>
        </w:rPr>
        <w:t xml:space="preserve">y </w:t>
      </w:r>
      <w:r w:rsidRPr="00791AE8">
        <w:rPr>
          <w:rFonts w:ascii="Arial" w:eastAsia="Calibri" w:hAnsi="Arial" w:cs="Arial"/>
          <w:bCs/>
        </w:rPr>
        <w:t>II “</w:t>
      </w:r>
      <w:r>
        <w:rPr>
          <w:rFonts w:ascii="Arial" w:eastAsia="Calibri" w:hAnsi="Arial" w:cs="Arial"/>
          <w:bCs/>
        </w:rPr>
        <w:t xml:space="preserve">La </w:t>
      </w:r>
      <w:r w:rsidRPr="00791AE8">
        <w:rPr>
          <w:rFonts w:ascii="Arial" w:eastAsia="Calibri" w:hAnsi="Arial" w:cs="Arial"/>
          <w:bCs/>
        </w:rPr>
        <w:t>Información Confidencial”, establecen los supuestos en que podrá clasificarse como reservada y/o confidencial la información en posesión de los sujetos obligados, así como los casos en los cuales no podrá invocarse clasificación alguna y/o elaborarse una versión pública de aquellos documentos que contengan partes o secciones clasificadas como reservadas y confidenciales.</w:t>
      </w:r>
      <w:r>
        <w:rPr>
          <w:rFonts w:ascii="Arial" w:eastAsia="Calibri" w:hAnsi="Arial" w:cs="Arial"/>
          <w:bCs/>
        </w:rPr>
        <w:t xml:space="preserve"> - - - - - - - - - - - - - - - - - - - - - - - - - - - - - - - - - - - - - - - - - - - - - - - - - </w:t>
      </w:r>
    </w:p>
    <w:p w14:paraId="1A6B5C2E" w14:textId="77777777" w:rsidR="00C93AC8" w:rsidRDefault="00C93AC8" w:rsidP="00007541">
      <w:pPr>
        <w:spacing w:line="360" w:lineRule="auto"/>
        <w:jc w:val="both"/>
        <w:rPr>
          <w:rFonts w:ascii="Arial" w:eastAsia="Calibri" w:hAnsi="Arial" w:cs="Arial"/>
          <w:bCs/>
        </w:rPr>
      </w:pPr>
      <w:r w:rsidRPr="00791AE8">
        <w:rPr>
          <w:rFonts w:ascii="Arial" w:eastAsia="Calibri" w:hAnsi="Arial" w:cs="Arial"/>
          <w:bCs/>
        </w:rPr>
        <w:t>Por su parte, los Lineamientos generales para la clasificación y desclasificación de la información, así como para la elaboración de versiones públicas, en sus Capítulos II “De la Clasificación”, V “De la información Reservada”, VI “De la información Confidencial” y IX “De las versiones públicas”, establecen el procedimiento que deberán seguir los sujetos obligados en aquellos casos que clasifiquen la información generada, obtenida, adquirida, transformada o en posesión de los sujetos obligados.</w:t>
      </w:r>
      <w:r>
        <w:rPr>
          <w:rFonts w:ascii="Arial" w:eastAsia="Calibri" w:hAnsi="Arial" w:cs="Arial"/>
          <w:bCs/>
        </w:rPr>
        <w:t xml:space="preserve"> - - - - - - - - - - - - - - - - - - - - - - - - - - - - - - - - - - - - - - - - - - - - - - - </w:t>
      </w:r>
    </w:p>
    <w:p w14:paraId="2E2F9437" w14:textId="5AA12A00" w:rsidR="000C5A40" w:rsidRPr="009B5CA2" w:rsidRDefault="000C5A40" w:rsidP="00007541">
      <w:pPr>
        <w:spacing w:line="360" w:lineRule="auto"/>
        <w:jc w:val="both"/>
        <w:rPr>
          <w:rFonts w:ascii="Arial" w:eastAsia="Times New Roman" w:hAnsi="Arial" w:cs="Arial"/>
          <w:bCs/>
          <w:lang w:val="es-ES_tradnl"/>
        </w:rPr>
      </w:pPr>
      <w:r w:rsidRPr="009B5CA2">
        <w:rPr>
          <w:rFonts w:ascii="Arial" w:eastAsia="Times New Roman" w:hAnsi="Arial" w:cs="Arial"/>
          <w:b/>
          <w:bCs/>
        </w:rPr>
        <w:t>CUARTO.</w:t>
      </w:r>
      <w:r w:rsidRPr="009B5CA2">
        <w:rPr>
          <w:rFonts w:ascii="Arial" w:eastAsia="Times New Roman" w:hAnsi="Arial" w:cs="Arial"/>
          <w:bCs/>
        </w:rPr>
        <w:t xml:space="preserve">  </w:t>
      </w:r>
      <w:r w:rsidRPr="009B5CA2">
        <w:rPr>
          <w:rFonts w:ascii="Arial" w:eastAsia="Times New Roman" w:hAnsi="Arial" w:cs="Arial"/>
          <w:bCs/>
          <w:lang w:val="es-ES_tradnl"/>
        </w:rPr>
        <w:t xml:space="preserve">Que con fecha </w:t>
      </w:r>
      <w:r w:rsidR="00C93AC8">
        <w:rPr>
          <w:rFonts w:ascii="Arial" w:eastAsia="Times New Roman" w:hAnsi="Arial" w:cs="Arial"/>
          <w:bCs/>
          <w:lang w:val="es-ES_tradnl"/>
        </w:rPr>
        <w:t>uno</w:t>
      </w:r>
      <w:r w:rsidR="00731C9A" w:rsidRPr="009B5CA2">
        <w:rPr>
          <w:rFonts w:ascii="Arial" w:eastAsia="Times New Roman" w:hAnsi="Arial" w:cs="Arial"/>
          <w:bCs/>
          <w:lang w:val="es-ES_tradnl"/>
        </w:rPr>
        <w:t xml:space="preserve"> de </w:t>
      </w:r>
      <w:r w:rsidR="00C93AC8">
        <w:rPr>
          <w:rFonts w:ascii="Arial" w:eastAsia="Times New Roman" w:hAnsi="Arial" w:cs="Arial"/>
          <w:bCs/>
          <w:lang w:val="es-ES_tradnl"/>
        </w:rPr>
        <w:t xml:space="preserve">octubre </w:t>
      </w:r>
      <w:r w:rsidR="00731C9A" w:rsidRPr="009B5CA2">
        <w:rPr>
          <w:rFonts w:ascii="Arial" w:eastAsia="Times New Roman" w:hAnsi="Arial" w:cs="Arial"/>
          <w:bCs/>
          <w:lang w:val="es-ES_tradnl"/>
        </w:rPr>
        <w:t xml:space="preserve">de dos mil veinticinco </w:t>
      </w:r>
      <w:r w:rsidRPr="009B5CA2">
        <w:rPr>
          <w:rFonts w:ascii="Arial" w:eastAsia="Times New Roman" w:hAnsi="Arial" w:cs="Arial"/>
          <w:bCs/>
          <w:lang w:val="es-ES_tradnl"/>
        </w:rPr>
        <w:t>fue recibido por este Órgano Colegiado el oficio con número OGAIPO/</w:t>
      </w:r>
      <w:r w:rsidR="00C93AC8">
        <w:rPr>
          <w:rFonts w:ascii="Arial" w:eastAsia="Times New Roman" w:hAnsi="Arial" w:cs="Arial"/>
          <w:bCs/>
          <w:lang w:val="es-ES_tradnl"/>
        </w:rPr>
        <w:t>CG</w:t>
      </w:r>
      <w:r w:rsidRPr="009B5CA2">
        <w:rPr>
          <w:rFonts w:ascii="Arial" w:eastAsia="Times New Roman" w:hAnsi="Arial" w:cs="Arial"/>
          <w:bCs/>
          <w:lang w:val="es-ES_tradnl"/>
        </w:rPr>
        <w:t>/</w:t>
      </w:r>
      <w:r w:rsidR="00C93AC8">
        <w:rPr>
          <w:rFonts w:ascii="Arial" w:eastAsia="Times New Roman" w:hAnsi="Arial" w:cs="Arial"/>
          <w:bCs/>
          <w:lang w:val="es-ES_tradnl"/>
        </w:rPr>
        <w:t>200</w:t>
      </w:r>
      <w:r w:rsidRPr="009B5CA2">
        <w:rPr>
          <w:rFonts w:ascii="Arial" w:eastAsia="Times New Roman" w:hAnsi="Arial" w:cs="Arial"/>
          <w:bCs/>
          <w:lang w:val="es-ES_tradnl"/>
        </w:rPr>
        <w:t>/202</w:t>
      </w:r>
      <w:r w:rsidR="00E855CA">
        <w:rPr>
          <w:rFonts w:ascii="Arial" w:eastAsia="Times New Roman" w:hAnsi="Arial" w:cs="Arial"/>
          <w:bCs/>
          <w:lang w:val="es-ES_tradnl"/>
        </w:rPr>
        <w:t>5</w:t>
      </w:r>
      <w:r w:rsidRPr="009B5CA2">
        <w:rPr>
          <w:rFonts w:ascii="Arial" w:eastAsia="Times New Roman" w:hAnsi="Arial" w:cs="Arial"/>
          <w:bCs/>
          <w:lang w:val="es-ES_tradnl"/>
        </w:rPr>
        <w:t xml:space="preserve"> de fecha </w:t>
      </w:r>
      <w:r w:rsidR="00C93AC8">
        <w:rPr>
          <w:rFonts w:ascii="Arial" w:eastAsia="Times New Roman" w:hAnsi="Arial" w:cs="Arial"/>
          <w:bCs/>
          <w:lang w:val="es-ES_tradnl"/>
        </w:rPr>
        <w:t xml:space="preserve">treinta </w:t>
      </w:r>
      <w:r w:rsidR="00731C9A" w:rsidRPr="009B5CA2">
        <w:rPr>
          <w:rFonts w:ascii="Arial" w:eastAsia="Times New Roman" w:hAnsi="Arial" w:cs="Arial"/>
          <w:bCs/>
          <w:lang w:val="es-ES_tradnl"/>
        </w:rPr>
        <w:t xml:space="preserve">de </w:t>
      </w:r>
      <w:r w:rsidR="00C93AC8">
        <w:rPr>
          <w:rFonts w:ascii="Arial" w:eastAsia="Times New Roman" w:hAnsi="Arial" w:cs="Arial"/>
          <w:bCs/>
          <w:lang w:val="es-ES_tradnl"/>
        </w:rPr>
        <w:t xml:space="preserve">septiembre </w:t>
      </w:r>
      <w:r w:rsidR="00731C9A" w:rsidRPr="009B5CA2">
        <w:rPr>
          <w:rFonts w:ascii="Arial" w:eastAsia="Times New Roman" w:hAnsi="Arial" w:cs="Arial"/>
          <w:bCs/>
          <w:lang w:val="es-ES_tradnl"/>
        </w:rPr>
        <w:t>de dos mil veinticinco</w:t>
      </w:r>
      <w:r w:rsidRPr="009B5CA2">
        <w:rPr>
          <w:rFonts w:ascii="Arial" w:eastAsia="Times New Roman" w:hAnsi="Arial" w:cs="Arial"/>
          <w:bCs/>
          <w:lang w:val="es-ES_tradnl"/>
        </w:rPr>
        <w:t xml:space="preserve">, signado por </w:t>
      </w:r>
      <w:r w:rsidR="00B9784F" w:rsidRPr="009B5CA2">
        <w:rPr>
          <w:rFonts w:ascii="Arial" w:eastAsia="Times New Roman" w:hAnsi="Arial" w:cs="Arial"/>
          <w:bCs/>
          <w:lang w:val="es-ES_tradnl"/>
        </w:rPr>
        <w:t>el</w:t>
      </w:r>
      <w:r w:rsidRPr="009B5CA2">
        <w:rPr>
          <w:rFonts w:ascii="Arial" w:eastAsia="Times New Roman" w:hAnsi="Arial" w:cs="Arial"/>
          <w:bCs/>
          <w:lang w:val="es-ES_tradnl"/>
        </w:rPr>
        <w:t xml:space="preserve"> </w:t>
      </w:r>
      <w:r w:rsidR="00731C9A" w:rsidRPr="009B5CA2">
        <w:rPr>
          <w:rFonts w:ascii="Arial" w:eastAsia="Calibri" w:hAnsi="Arial" w:cs="Arial"/>
        </w:rPr>
        <w:t xml:space="preserve">C. </w:t>
      </w:r>
      <w:r w:rsidR="00C93AC8">
        <w:rPr>
          <w:rFonts w:ascii="Arial" w:eastAsia="Calibri" w:hAnsi="Arial" w:cs="Arial"/>
        </w:rPr>
        <w:t>Jorge Fausto Bustamante García</w:t>
      </w:r>
      <w:r w:rsidR="00B9784F" w:rsidRPr="009B5CA2">
        <w:rPr>
          <w:rFonts w:ascii="Arial" w:eastAsia="Calibri" w:hAnsi="Arial" w:cs="Arial"/>
        </w:rPr>
        <w:t>,</w:t>
      </w:r>
      <w:r w:rsidR="00421C14" w:rsidRPr="009B5CA2">
        <w:rPr>
          <w:rFonts w:ascii="Arial" w:eastAsia="Calibri" w:hAnsi="Arial" w:cs="Arial"/>
        </w:rPr>
        <w:t xml:space="preserve"> </w:t>
      </w:r>
      <w:r w:rsidR="00C93AC8">
        <w:rPr>
          <w:rFonts w:ascii="Arial" w:eastAsia="Calibri" w:hAnsi="Arial" w:cs="Arial"/>
        </w:rPr>
        <w:t>Contralor General</w:t>
      </w:r>
      <w:r w:rsidRPr="009B5CA2">
        <w:rPr>
          <w:rFonts w:ascii="Arial" w:eastAsia="Calibri" w:hAnsi="Arial" w:cs="Arial"/>
          <w:lang w:val="es-ES_tradnl"/>
        </w:rPr>
        <w:t>,</w:t>
      </w:r>
      <w:r w:rsidRPr="009B5CA2">
        <w:rPr>
          <w:rFonts w:ascii="Arial" w:eastAsia="Times New Roman" w:hAnsi="Arial" w:cs="Arial"/>
          <w:bCs/>
          <w:lang w:val="es-ES_tradnl"/>
        </w:rPr>
        <w:t xml:space="preserve"> mediante el cual se manifiesta que: - - - - - - - - - -</w:t>
      </w:r>
      <w:r w:rsidR="00C93AC8">
        <w:rPr>
          <w:rFonts w:ascii="Arial" w:eastAsia="Times New Roman" w:hAnsi="Arial" w:cs="Arial"/>
          <w:bCs/>
          <w:lang w:val="es-ES_tradnl"/>
        </w:rPr>
        <w:t xml:space="preserve"> - - - - - </w:t>
      </w:r>
      <w:r w:rsidR="00B9784F" w:rsidRPr="009B5CA2">
        <w:rPr>
          <w:rFonts w:ascii="Arial" w:eastAsia="Times New Roman" w:hAnsi="Arial" w:cs="Arial"/>
          <w:bCs/>
          <w:lang w:val="es-ES_tradnl"/>
        </w:rPr>
        <w:t xml:space="preserve"> </w:t>
      </w:r>
    </w:p>
    <w:p w14:paraId="40536CBF" w14:textId="12E06EF9" w:rsidR="00C221F2" w:rsidRPr="003F2BE5" w:rsidRDefault="009B5CA2" w:rsidP="00007541">
      <w:pPr>
        <w:pStyle w:val="Sinespaciado"/>
        <w:ind w:left="567" w:right="616"/>
        <w:jc w:val="both"/>
        <w:rPr>
          <w:rFonts w:ascii="Arial" w:hAnsi="Arial" w:cs="Arial"/>
          <w:i/>
          <w:iCs/>
          <w:sz w:val="22"/>
          <w:szCs w:val="22"/>
        </w:rPr>
      </w:pPr>
      <w:bookmarkStart w:id="1" w:name="_Hlk212608992"/>
      <w:r w:rsidRPr="00A82C1A">
        <w:rPr>
          <w:rFonts w:ascii="Arial" w:hAnsi="Arial" w:cs="Arial"/>
          <w:sz w:val="22"/>
          <w:szCs w:val="22"/>
        </w:rPr>
        <w:lastRenderedPageBreak/>
        <w:t>“</w:t>
      </w:r>
      <w:r w:rsidR="00C221F2" w:rsidRPr="00A82C1A">
        <w:rPr>
          <w:rFonts w:ascii="Arial" w:hAnsi="Arial" w:cs="Arial"/>
          <w:i/>
          <w:iCs/>
          <w:sz w:val="22"/>
          <w:szCs w:val="22"/>
        </w:rPr>
        <w:t>…</w:t>
      </w:r>
    </w:p>
    <w:p w14:paraId="6C54126E" w14:textId="1F3B68FA" w:rsidR="00C221F2" w:rsidRPr="00A82C1A" w:rsidRDefault="00C93AC8" w:rsidP="00007541">
      <w:pPr>
        <w:pStyle w:val="Sinespaciado"/>
        <w:ind w:left="567" w:right="616"/>
        <w:jc w:val="both"/>
        <w:rPr>
          <w:rFonts w:ascii="Arial" w:hAnsi="Arial" w:cs="Arial"/>
          <w:i/>
          <w:iCs/>
          <w:sz w:val="22"/>
          <w:szCs w:val="22"/>
        </w:rPr>
      </w:pPr>
      <w:r w:rsidRPr="00A82C1A">
        <w:rPr>
          <w:rFonts w:ascii="Arial" w:hAnsi="Arial" w:cs="Arial"/>
          <w:i/>
          <w:iCs/>
          <w:sz w:val="22"/>
          <w:szCs w:val="22"/>
        </w:rPr>
        <w:t>E</w:t>
      </w:r>
      <w:r w:rsidR="00A82C1A" w:rsidRPr="00A82C1A">
        <w:rPr>
          <w:rFonts w:ascii="Arial" w:hAnsi="Arial" w:cs="Arial"/>
          <w:i/>
          <w:iCs/>
          <w:sz w:val="22"/>
          <w:szCs w:val="22"/>
        </w:rPr>
        <w:t xml:space="preserve">l que suscribe C. Jorge Fausto Bustamante en mi carácter de Contralor General de este Órgano Garante, con fundamento en lo dispuesto por los artículos 1, 2, 3, 7 fracción VI y 15 de la Ley de Transparencia, Acceso a la Información Pública y Buen Gobierno del Estado de Oaxaca, en relación con lo establecido en el artículo 9 fracción X del Reglamento Interno del Órgano Garante de Acceso a la Información Pública, Transparencia, Protección de Datos Personales y Buen Gobierno del Estado de Oaxaca, en atención al oficio de  referencia OGAIPO/UT/0622/2023 remitido por la Unidad de Transparencia de este Órgano Garante, referente a la solicitud de información con número de folio </w:t>
      </w:r>
      <w:r w:rsidR="00A82C1A" w:rsidRPr="003F2BE5">
        <w:rPr>
          <w:rFonts w:ascii="Arial" w:hAnsi="Arial" w:cs="Arial"/>
          <w:b/>
          <w:bCs/>
          <w:i/>
          <w:iCs/>
          <w:sz w:val="22"/>
          <w:szCs w:val="22"/>
        </w:rPr>
        <w:t>202728525000197</w:t>
      </w:r>
      <w:r w:rsidR="00A82C1A" w:rsidRPr="00A82C1A">
        <w:rPr>
          <w:rFonts w:ascii="Arial" w:hAnsi="Arial" w:cs="Arial"/>
          <w:i/>
          <w:iCs/>
          <w:sz w:val="22"/>
          <w:szCs w:val="22"/>
        </w:rPr>
        <w:t xml:space="preserve"> en específico a la siguiente la solicitud:</w:t>
      </w:r>
    </w:p>
    <w:p w14:paraId="4536FFC8" w14:textId="69FF8800" w:rsidR="00A82C1A" w:rsidRPr="00A82C1A" w:rsidRDefault="00A82C1A" w:rsidP="00007541">
      <w:pPr>
        <w:pStyle w:val="Sinespaciado"/>
        <w:ind w:left="567" w:right="616"/>
        <w:jc w:val="both"/>
        <w:rPr>
          <w:rFonts w:ascii="Arial" w:hAnsi="Arial" w:cs="Arial"/>
          <w:i/>
          <w:iCs/>
          <w:sz w:val="22"/>
          <w:szCs w:val="22"/>
        </w:rPr>
      </w:pPr>
    </w:p>
    <w:p w14:paraId="5AA6EAE1" w14:textId="5FC07CAB" w:rsidR="00A82C1A" w:rsidRPr="00A82C1A" w:rsidRDefault="00A82C1A" w:rsidP="00007541">
      <w:pPr>
        <w:pStyle w:val="Sinespaciado"/>
        <w:ind w:left="993" w:right="1041"/>
        <w:jc w:val="both"/>
        <w:rPr>
          <w:rFonts w:ascii="Arial" w:hAnsi="Arial" w:cs="Arial"/>
          <w:i/>
          <w:iCs/>
          <w:sz w:val="22"/>
          <w:szCs w:val="22"/>
        </w:rPr>
      </w:pPr>
      <w:r w:rsidRPr="00A82C1A">
        <w:rPr>
          <w:rFonts w:ascii="Arial" w:hAnsi="Arial" w:cs="Arial"/>
          <w:i/>
          <w:iCs/>
          <w:sz w:val="22"/>
          <w:szCs w:val="22"/>
        </w:rPr>
        <w:t xml:space="preserve">“Solicitud de acceso a información complementaria Con fundamento en la Ley de Transparencia, Acceso a la Información Pública y Buen Gobierno del Estado de Oaxaca, y en seguimiento a mi solicitud con número de folio 2027285250000194, por la cual se me proporcionó un listado de quejas, denuncias o procedimientos administrativos iniciados contra servidores públicos del OGAIPO durante los años 2021-2024, solicito ahora lo siguiente: Copia íntegra de los expedientes de dichas quejas, denuncias o procedimientos, incluyendo: Actas de inicio. Resoluciones emitidas. Fundamentos legales de la concusión y archivo. Sanciones impuestas (en caso de </w:t>
      </w:r>
      <w:proofErr w:type="gramStart"/>
      <w:r w:rsidRPr="00A82C1A">
        <w:rPr>
          <w:rFonts w:ascii="Arial" w:hAnsi="Arial" w:cs="Arial"/>
          <w:i/>
          <w:iCs/>
          <w:sz w:val="22"/>
          <w:szCs w:val="22"/>
        </w:rPr>
        <w:t>existir)…</w:t>
      </w:r>
      <w:proofErr w:type="gramEnd"/>
      <w:r w:rsidRPr="00A82C1A">
        <w:rPr>
          <w:rFonts w:ascii="Arial" w:hAnsi="Arial" w:cs="Arial"/>
          <w:i/>
          <w:iCs/>
          <w:sz w:val="22"/>
          <w:szCs w:val="22"/>
        </w:rPr>
        <w:t xml:space="preserve"> (sic)."</w:t>
      </w:r>
    </w:p>
    <w:p w14:paraId="5E33AAFD" w14:textId="277BFD08" w:rsidR="00A82C1A" w:rsidRPr="00A82C1A" w:rsidRDefault="00A82C1A" w:rsidP="00007541">
      <w:pPr>
        <w:pStyle w:val="Sinespaciado"/>
        <w:ind w:left="567" w:right="616"/>
        <w:jc w:val="both"/>
        <w:rPr>
          <w:rFonts w:ascii="Arial" w:hAnsi="Arial" w:cs="Arial"/>
          <w:i/>
          <w:iCs/>
          <w:sz w:val="22"/>
          <w:szCs w:val="22"/>
        </w:rPr>
      </w:pPr>
      <w:r w:rsidRPr="00A82C1A">
        <w:rPr>
          <w:rFonts w:ascii="Arial" w:hAnsi="Arial" w:cs="Arial"/>
          <w:i/>
          <w:iCs/>
          <w:sz w:val="22"/>
          <w:szCs w:val="22"/>
        </w:rPr>
        <w:t xml:space="preserve"> </w:t>
      </w:r>
    </w:p>
    <w:p w14:paraId="23B0E32D" w14:textId="7024DA44" w:rsidR="00A82C1A" w:rsidRPr="00A82C1A" w:rsidRDefault="00A82C1A" w:rsidP="00007541">
      <w:pPr>
        <w:pStyle w:val="Sinespaciado"/>
        <w:ind w:left="567" w:right="616"/>
        <w:jc w:val="both"/>
        <w:rPr>
          <w:rFonts w:ascii="Arial" w:hAnsi="Arial" w:cs="Arial"/>
          <w:i/>
          <w:iCs/>
          <w:sz w:val="22"/>
          <w:szCs w:val="22"/>
        </w:rPr>
      </w:pPr>
      <w:r w:rsidRPr="00A82C1A">
        <w:rPr>
          <w:rFonts w:ascii="Arial" w:hAnsi="Arial" w:cs="Arial"/>
          <w:i/>
          <w:iCs/>
          <w:sz w:val="22"/>
          <w:szCs w:val="22"/>
        </w:rPr>
        <w:t>A efecto de dar atención a la solicitud y con fundamento en los artículos 39, 40 fracción l, 102, 103, 106, 112 fracciones IX, X</w:t>
      </w:r>
      <w:r>
        <w:rPr>
          <w:rFonts w:ascii="Arial" w:hAnsi="Arial" w:cs="Arial"/>
          <w:i/>
          <w:iCs/>
          <w:sz w:val="22"/>
          <w:szCs w:val="22"/>
        </w:rPr>
        <w:t xml:space="preserve"> </w:t>
      </w:r>
      <w:r w:rsidRPr="00A82C1A">
        <w:rPr>
          <w:rFonts w:ascii="Arial" w:hAnsi="Arial" w:cs="Arial"/>
          <w:i/>
          <w:iCs/>
          <w:sz w:val="22"/>
          <w:szCs w:val="22"/>
        </w:rPr>
        <w:t>y X</w:t>
      </w:r>
      <w:r>
        <w:rPr>
          <w:rFonts w:ascii="Arial" w:hAnsi="Arial" w:cs="Arial"/>
          <w:i/>
          <w:iCs/>
          <w:sz w:val="22"/>
          <w:szCs w:val="22"/>
        </w:rPr>
        <w:t xml:space="preserve">I </w:t>
      </w:r>
      <w:r w:rsidRPr="00A82C1A">
        <w:rPr>
          <w:rFonts w:ascii="Arial" w:hAnsi="Arial" w:cs="Arial"/>
          <w:i/>
          <w:iCs/>
          <w:sz w:val="22"/>
          <w:szCs w:val="22"/>
        </w:rPr>
        <w:t>de la Ley General de Transparencia y Acceso a la Información Pública; 6 fracción, XXI, 10 fracción XI, 54 fracciones XI, X</w:t>
      </w:r>
      <w:r>
        <w:rPr>
          <w:rFonts w:ascii="Arial" w:hAnsi="Arial" w:cs="Arial"/>
          <w:i/>
          <w:iCs/>
          <w:sz w:val="22"/>
          <w:szCs w:val="22"/>
        </w:rPr>
        <w:t>II</w:t>
      </w:r>
      <w:r w:rsidRPr="00A82C1A">
        <w:rPr>
          <w:rFonts w:ascii="Arial" w:hAnsi="Arial" w:cs="Arial"/>
          <w:i/>
          <w:iCs/>
          <w:sz w:val="22"/>
          <w:szCs w:val="22"/>
        </w:rPr>
        <w:t xml:space="preserve"> y X</w:t>
      </w:r>
      <w:r>
        <w:rPr>
          <w:rFonts w:ascii="Arial" w:hAnsi="Arial" w:cs="Arial"/>
          <w:i/>
          <w:iCs/>
          <w:sz w:val="22"/>
          <w:szCs w:val="22"/>
        </w:rPr>
        <w:t>III</w:t>
      </w:r>
      <w:r w:rsidRPr="00A82C1A">
        <w:rPr>
          <w:rFonts w:ascii="Arial" w:hAnsi="Arial" w:cs="Arial"/>
          <w:i/>
          <w:iCs/>
          <w:sz w:val="22"/>
          <w:szCs w:val="22"/>
        </w:rPr>
        <w:t xml:space="preserve">, 55 y 73 fracción </w:t>
      </w:r>
      <w:r>
        <w:rPr>
          <w:rFonts w:ascii="Arial" w:hAnsi="Arial" w:cs="Arial"/>
          <w:i/>
          <w:iCs/>
          <w:sz w:val="22"/>
          <w:szCs w:val="22"/>
        </w:rPr>
        <w:t xml:space="preserve">II </w:t>
      </w:r>
      <w:r w:rsidRPr="00A82C1A">
        <w:rPr>
          <w:rFonts w:ascii="Arial" w:hAnsi="Arial" w:cs="Arial"/>
          <w:i/>
          <w:iCs/>
          <w:sz w:val="22"/>
          <w:szCs w:val="22"/>
        </w:rPr>
        <w:t>de la Ley de Transparencia, Acceso a la Información Pública y Buen Gobierno del Estado de Oaxaca; artículo 9 fracción X</w:t>
      </w:r>
      <w:r>
        <w:rPr>
          <w:rFonts w:ascii="Arial" w:hAnsi="Arial" w:cs="Arial"/>
          <w:i/>
          <w:iCs/>
          <w:sz w:val="22"/>
          <w:szCs w:val="22"/>
        </w:rPr>
        <w:t xml:space="preserve">II </w:t>
      </w:r>
      <w:r w:rsidRPr="00A82C1A">
        <w:rPr>
          <w:rFonts w:ascii="Arial" w:hAnsi="Arial" w:cs="Arial"/>
          <w:i/>
          <w:iCs/>
          <w:sz w:val="22"/>
          <w:szCs w:val="22"/>
        </w:rPr>
        <w:t>del Reglamento Interno del Órgano Garante de Acceso a</w:t>
      </w:r>
      <w:r>
        <w:rPr>
          <w:rFonts w:ascii="Arial" w:hAnsi="Arial" w:cs="Arial"/>
          <w:i/>
          <w:iCs/>
          <w:sz w:val="22"/>
          <w:szCs w:val="22"/>
        </w:rPr>
        <w:t xml:space="preserve"> l</w:t>
      </w:r>
      <w:r w:rsidRPr="00A82C1A">
        <w:rPr>
          <w:rFonts w:ascii="Arial" w:hAnsi="Arial" w:cs="Arial"/>
          <w:i/>
          <w:iCs/>
          <w:sz w:val="22"/>
          <w:szCs w:val="22"/>
        </w:rPr>
        <w:t>a Información Pública, Transparencia Protección de Datos Personales y Buen</w:t>
      </w:r>
      <w:r>
        <w:rPr>
          <w:rFonts w:ascii="Arial" w:hAnsi="Arial" w:cs="Arial"/>
          <w:i/>
          <w:iCs/>
          <w:sz w:val="22"/>
          <w:szCs w:val="22"/>
        </w:rPr>
        <w:t xml:space="preserve"> </w:t>
      </w:r>
      <w:r w:rsidRPr="00A82C1A">
        <w:rPr>
          <w:rFonts w:ascii="Arial" w:hAnsi="Arial" w:cs="Arial"/>
          <w:i/>
          <w:iCs/>
          <w:sz w:val="22"/>
          <w:szCs w:val="22"/>
        </w:rPr>
        <w:t>Gobierno del Estado de Oaxaca, ya lo dispuesto en los numerales vigésimo octavo y vigésimo noveno de los Lineamientos Generales en Materia de Clasificación y Desclasificación de la Información, así como para la Elaboración de Versiones Publicas,</w:t>
      </w:r>
      <w:r>
        <w:rPr>
          <w:rFonts w:ascii="Arial" w:hAnsi="Arial" w:cs="Arial"/>
          <w:i/>
          <w:iCs/>
          <w:sz w:val="22"/>
          <w:szCs w:val="22"/>
        </w:rPr>
        <w:t xml:space="preserve"> </w:t>
      </w:r>
      <w:r w:rsidRPr="00A82C1A">
        <w:rPr>
          <w:rFonts w:ascii="Arial" w:hAnsi="Arial" w:cs="Arial"/>
          <w:i/>
          <w:iCs/>
          <w:sz w:val="22"/>
          <w:szCs w:val="22"/>
        </w:rPr>
        <w:t xml:space="preserve">aprobados por el Consejo Nacional del Sistema Nacional de Transparencia, Acceso a la Información Pública y Protección de Datos Personales, hago de su conocimiento lo siguiente: </w:t>
      </w:r>
    </w:p>
    <w:p w14:paraId="4886B384" w14:textId="77777777" w:rsidR="00A82C1A" w:rsidRDefault="00A82C1A" w:rsidP="00007541">
      <w:pPr>
        <w:pStyle w:val="Sinespaciado"/>
        <w:ind w:left="567" w:right="616"/>
        <w:jc w:val="both"/>
        <w:rPr>
          <w:rFonts w:ascii="Arial" w:hAnsi="Arial" w:cs="Arial"/>
          <w:i/>
          <w:iCs/>
          <w:sz w:val="22"/>
          <w:szCs w:val="22"/>
        </w:rPr>
      </w:pPr>
    </w:p>
    <w:p w14:paraId="0B115ADE" w14:textId="7413692E" w:rsidR="00A82C1A" w:rsidRDefault="00A82C1A" w:rsidP="00007541">
      <w:pPr>
        <w:pStyle w:val="Sinespaciado"/>
        <w:ind w:left="567" w:right="616"/>
        <w:jc w:val="both"/>
        <w:rPr>
          <w:rFonts w:ascii="Arial" w:hAnsi="Arial" w:cs="Arial"/>
          <w:i/>
          <w:iCs/>
          <w:sz w:val="22"/>
          <w:szCs w:val="22"/>
        </w:rPr>
      </w:pPr>
      <w:r w:rsidRPr="00A82C1A">
        <w:rPr>
          <w:rFonts w:ascii="Arial" w:hAnsi="Arial" w:cs="Arial"/>
          <w:i/>
          <w:iCs/>
          <w:sz w:val="22"/>
          <w:szCs w:val="22"/>
        </w:rPr>
        <w:t xml:space="preserve">Que, si bien es cierto que con fecha 26 de septiembre de 2025, se presentó solicitud de información con número de folio </w:t>
      </w:r>
      <w:r w:rsidRPr="003F2BE5">
        <w:rPr>
          <w:rFonts w:ascii="Arial" w:hAnsi="Arial" w:cs="Arial"/>
          <w:b/>
          <w:bCs/>
          <w:i/>
          <w:iCs/>
          <w:sz w:val="22"/>
          <w:szCs w:val="22"/>
        </w:rPr>
        <w:t>202728525000197</w:t>
      </w:r>
      <w:r w:rsidRPr="00A82C1A">
        <w:rPr>
          <w:rFonts w:ascii="Arial" w:hAnsi="Arial" w:cs="Arial"/>
          <w:i/>
          <w:iCs/>
          <w:sz w:val="22"/>
          <w:szCs w:val="22"/>
        </w:rPr>
        <w:t>, respecto de quejas, denuncias o procedimientos administrativos iniciados contra servidores públicos del OGAIPO durante los años 2021-2024, también lo es que tres de los expedientes que se encuentran etapa de trámite contienen información cuya difusión pudiera obstruir los procedimientos para fincar responsabilidad a los Servidores Públicos, en tanto no haya resolución administrativa que</w:t>
      </w:r>
      <w:r>
        <w:rPr>
          <w:rFonts w:ascii="Arial" w:hAnsi="Arial" w:cs="Arial"/>
          <w:i/>
          <w:iCs/>
          <w:sz w:val="22"/>
          <w:szCs w:val="22"/>
        </w:rPr>
        <w:t xml:space="preserve"> </w:t>
      </w:r>
      <w:r w:rsidRPr="00A82C1A">
        <w:rPr>
          <w:rFonts w:ascii="Arial" w:hAnsi="Arial" w:cs="Arial"/>
          <w:i/>
          <w:iCs/>
          <w:sz w:val="22"/>
          <w:szCs w:val="22"/>
        </w:rPr>
        <w:t>cause ejecutoria</w:t>
      </w:r>
      <w:r>
        <w:rPr>
          <w:rFonts w:ascii="Arial" w:hAnsi="Arial" w:cs="Arial"/>
          <w:i/>
          <w:iCs/>
          <w:sz w:val="22"/>
          <w:szCs w:val="22"/>
        </w:rPr>
        <w:t xml:space="preserve"> </w:t>
      </w:r>
      <w:r w:rsidRPr="00A82C1A">
        <w:rPr>
          <w:rFonts w:ascii="Arial" w:hAnsi="Arial" w:cs="Arial"/>
          <w:i/>
          <w:iCs/>
          <w:sz w:val="22"/>
          <w:szCs w:val="22"/>
        </w:rPr>
        <w:t xml:space="preserve">y afectar los derechos del debido proceso, es así que </w:t>
      </w:r>
      <w:r w:rsidRPr="003F2BE5">
        <w:rPr>
          <w:rFonts w:ascii="Arial" w:hAnsi="Arial" w:cs="Arial"/>
          <w:b/>
          <w:bCs/>
          <w:i/>
          <w:iCs/>
          <w:sz w:val="22"/>
          <w:szCs w:val="22"/>
        </w:rPr>
        <w:t>se clasifica como reservada</w:t>
      </w:r>
      <w:r w:rsidRPr="00A82C1A">
        <w:rPr>
          <w:rFonts w:ascii="Arial" w:hAnsi="Arial" w:cs="Arial"/>
          <w:i/>
          <w:iCs/>
          <w:sz w:val="22"/>
          <w:szCs w:val="22"/>
        </w:rPr>
        <w:t xml:space="preserve">, durante un periodo de </w:t>
      </w:r>
      <w:r w:rsidRPr="003F2BE5">
        <w:rPr>
          <w:rFonts w:ascii="Arial" w:hAnsi="Arial" w:cs="Arial"/>
          <w:b/>
          <w:bCs/>
          <w:i/>
          <w:iCs/>
          <w:sz w:val="22"/>
          <w:szCs w:val="22"/>
        </w:rPr>
        <w:t>cinco</w:t>
      </w:r>
      <w:r w:rsidRPr="00A82C1A">
        <w:rPr>
          <w:rFonts w:ascii="Arial" w:hAnsi="Arial" w:cs="Arial"/>
          <w:i/>
          <w:iCs/>
          <w:sz w:val="22"/>
          <w:szCs w:val="22"/>
        </w:rPr>
        <w:t xml:space="preserve"> </w:t>
      </w:r>
      <w:r w:rsidRPr="003F2BE5">
        <w:rPr>
          <w:rFonts w:ascii="Arial" w:hAnsi="Arial" w:cs="Arial"/>
          <w:b/>
          <w:bCs/>
          <w:i/>
          <w:iCs/>
          <w:sz w:val="22"/>
          <w:szCs w:val="22"/>
        </w:rPr>
        <w:t>años</w:t>
      </w:r>
      <w:r w:rsidRPr="00A82C1A">
        <w:rPr>
          <w:rFonts w:ascii="Arial" w:hAnsi="Arial" w:cs="Arial"/>
          <w:i/>
          <w:iCs/>
          <w:sz w:val="22"/>
          <w:szCs w:val="22"/>
        </w:rPr>
        <w:t>, la información referente a:</w:t>
      </w:r>
    </w:p>
    <w:p w14:paraId="27B6FD07" w14:textId="3215BE00" w:rsidR="00A82C1A" w:rsidRDefault="00A82C1A" w:rsidP="00007541">
      <w:pPr>
        <w:pStyle w:val="Sinespaciado"/>
        <w:ind w:left="567" w:right="616"/>
        <w:jc w:val="both"/>
        <w:rPr>
          <w:rFonts w:ascii="Arial" w:hAnsi="Arial" w:cs="Arial"/>
          <w:i/>
          <w:iCs/>
          <w:sz w:val="22"/>
          <w:szCs w:val="22"/>
        </w:rPr>
      </w:pPr>
    </w:p>
    <w:p w14:paraId="69F536E7" w14:textId="77777777" w:rsidR="00A82C1A" w:rsidRPr="00A82C1A" w:rsidRDefault="00A82C1A" w:rsidP="00007541">
      <w:pPr>
        <w:pStyle w:val="Sinespaciado"/>
        <w:ind w:left="567" w:right="616"/>
        <w:jc w:val="both"/>
        <w:rPr>
          <w:rFonts w:ascii="Arial" w:hAnsi="Arial" w:cs="Arial"/>
          <w:i/>
          <w:iCs/>
          <w:sz w:val="22"/>
          <w:szCs w:val="22"/>
        </w:rPr>
      </w:pPr>
      <w:r w:rsidRPr="00A82C1A">
        <w:rPr>
          <w:rFonts w:ascii="Arial" w:hAnsi="Arial" w:cs="Arial"/>
          <w:i/>
          <w:iCs/>
          <w:sz w:val="22"/>
          <w:szCs w:val="22"/>
        </w:rPr>
        <w:t xml:space="preserve">Todos los documentos que forman parte de </w:t>
      </w:r>
      <w:bookmarkStart w:id="2" w:name="_Hlk212608708"/>
      <w:r w:rsidRPr="00A82C1A">
        <w:rPr>
          <w:rFonts w:ascii="Arial" w:hAnsi="Arial" w:cs="Arial"/>
          <w:i/>
          <w:iCs/>
          <w:sz w:val="22"/>
          <w:szCs w:val="22"/>
        </w:rPr>
        <w:t xml:space="preserve">los tres cuadernos de antecedentes </w:t>
      </w:r>
    </w:p>
    <w:p w14:paraId="4A34D952" w14:textId="470E101D" w:rsidR="00A82C1A" w:rsidRPr="00A82C1A" w:rsidRDefault="00A82C1A" w:rsidP="00007541">
      <w:pPr>
        <w:pStyle w:val="Sinespaciado"/>
        <w:ind w:left="567" w:right="616"/>
        <w:jc w:val="both"/>
        <w:rPr>
          <w:rFonts w:ascii="Arial" w:hAnsi="Arial" w:cs="Arial"/>
          <w:i/>
          <w:iCs/>
          <w:sz w:val="22"/>
          <w:szCs w:val="22"/>
        </w:rPr>
      </w:pPr>
      <w:r w:rsidRPr="00A82C1A">
        <w:rPr>
          <w:rFonts w:ascii="Arial" w:hAnsi="Arial" w:cs="Arial"/>
          <w:i/>
          <w:iCs/>
          <w:sz w:val="22"/>
          <w:szCs w:val="22"/>
        </w:rPr>
        <w:t xml:space="preserve">identificados con los números </w:t>
      </w:r>
      <w:r w:rsidRPr="003F2BE5">
        <w:rPr>
          <w:rFonts w:ascii="Arial" w:hAnsi="Arial" w:cs="Arial"/>
          <w:b/>
          <w:bCs/>
          <w:i/>
          <w:iCs/>
          <w:sz w:val="22"/>
          <w:szCs w:val="22"/>
        </w:rPr>
        <w:t>C.A./01/2023</w:t>
      </w:r>
      <w:r w:rsidRPr="00A82C1A">
        <w:rPr>
          <w:rFonts w:ascii="Arial" w:hAnsi="Arial" w:cs="Arial"/>
          <w:i/>
          <w:iCs/>
          <w:sz w:val="22"/>
          <w:szCs w:val="22"/>
        </w:rPr>
        <w:t xml:space="preserve">, </w:t>
      </w:r>
      <w:r w:rsidRPr="003F2BE5">
        <w:rPr>
          <w:rFonts w:ascii="Arial" w:hAnsi="Arial" w:cs="Arial"/>
          <w:b/>
          <w:bCs/>
          <w:i/>
          <w:iCs/>
          <w:sz w:val="22"/>
          <w:szCs w:val="22"/>
        </w:rPr>
        <w:t>C.A./02/2023</w:t>
      </w:r>
      <w:r w:rsidRPr="00A82C1A">
        <w:rPr>
          <w:rFonts w:ascii="Arial" w:hAnsi="Arial" w:cs="Arial"/>
          <w:i/>
          <w:iCs/>
          <w:sz w:val="22"/>
          <w:szCs w:val="22"/>
        </w:rPr>
        <w:t xml:space="preserve"> y </w:t>
      </w:r>
      <w:r w:rsidRPr="003F2BE5">
        <w:rPr>
          <w:rFonts w:ascii="Arial" w:hAnsi="Arial" w:cs="Arial"/>
          <w:b/>
          <w:bCs/>
          <w:i/>
          <w:iCs/>
          <w:sz w:val="22"/>
          <w:szCs w:val="22"/>
        </w:rPr>
        <w:t>C.A</w:t>
      </w:r>
      <w:r w:rsidR="003F2BE5">
        <w:rPr>
          <w:rFonts w:ascii="Arial" w:hAnsi="Arial" w:cs="Arial"/>
          <w:b/>
          <w:bCs/>
          <w:i/>
          <w:iCs/>
          <w:sz w:val="22"/>
          <w:szCs w:val="22"/>
        </w:rPr>
        <w:t>.</w:t>
      </w:r>
      <w:r w:rsidRPr="003F2BE5">
        <w:rPr>
          <w:rFonts w:ascii="Arial" w:hAnsi="Arial" w:cs="Arial"/>
          <w:b/>
          <w:bCs/>
          <w:i/>
          <w:iCs/>
          <w:sz w:val="22"/>
          <w:szCs w:val="22"/>
        </w:rPr>
        <w:t>/01/2024</w:t>
      </w:r>
      <w:r w:rsidRPr="00A82C1A">
        <w:rPr>
          <w:rFonts w:ascii="Arial" w:hAnsi="Arial" w:cs="Arial"/>
          <w:i/>
          <w:iCs/>
          <w:sz w:val="22"/>
          <w:szCs w:val="22"/>
        </w:rPr>
        <w:t xml:space="preserve"> expedientes</w:t>
      </w:r>
      <w:r>
        <w:rPr>
          <w:rFonts w:ascii="Arial" w:hAnsi="Arial" w:cs="Arial"/>
          <w:i/>
          <w:iCs/>
          <w:sz w:val="22"/>
          <w:szCs w:val="22"/>
        </w:rPr>
        <w:t xml:space="preserve"> </w:t>
      </w:r>
      <w:r w:rsidRPr="00A82C1A">
        <w:rPr>
          <w:rFonts w:ascii="Arial" w:hAnsi="Arial" w:cs="Arial"/>
          <w:i/>
          <w:iCs/>
          <w:sz w:val="22"/>
          <w:szCs w:val="22"/>
        </w:rPr>
        <w:t>contentivos de las investigaciones de presunta responsabilidad administrativa, iniciados por</w:t>
      </w:r>
      <w:r>
        <w:rPr>
          <w:rFonts w:ascii="Arial" w:hAnsi="Arial" w:cs="Arial"/>
          <w:i/>
          <w:iCs/>
          <w:sz w:val="22"/>
          <w:szCs w:val="22"/>
        </w:rPr>
        <w:t xml:space="preserve"> </w:t>
      </w:r>
      <w:r w:rsidRPr="00A82C1A">
        <w:rPr>
          <w:rFonts w:ascii="Arial" w:hAnsi="Arial" w:cs="Arial"/>
          <w:i/>
          <w:iCs/>
          <w:sz w:val="22"/>
          <w:szCs w:val="22"/>
        </w:rPr>
        <w:t>la autoridad investigadora de la Contraloría General del Órgano Garante de Acceso a la</w:t>
      </w:r>
      <w:r>
        <w:rPr>
          <w:rFonts w:ascii="Arial" w:hAnsi="Arial" w:cs="Arial"/>
          <w:i/>
          <w:iCs/>
          <w:sz w:val="22"/>
          <w:szCs w:val="22"/>
        </w:rPr>
        <w:t xml:space="preserve"> </w:t>
      </w:r>
      <w:r w:rsidRPr="00A82C1A">
        <w:rPr>
          <w:rFonts w:ascii="Arial" w:hAnsi="Arial" w:cs="Arial"/>
          <w:i/>
          <w:iCs/>
          <w:sz w:val="22"/>
          <w:szCs w:val="22"/>
        </w:rPr>
        <w:t xml:space="preserve">Información Pública, Transparencia, Protección de Datos Personales y Buen Gobierno del Estado de Oaxaca. </w:t>
      </w:r>
    </w:p>
    <w:bookmarkEnd w:id="2"/>
    <w:p w14:paraId="452ADA10" w14:textId="77777777" w:rsidR="00A82C1A" w:rsidRDefault="00A82C1A" w:rsidP="00007541">
      <w:pPr>
        <w:pStyle w:val="Sinespaciado"/>
        <w:ind w:left="567" w:right="616"/>
        <w:jc w:val="both"/>
        <w:rPr>
          <w:rFonts w:ascii="Arial" w:hAnsi="Arial" w:cs="Arial"/>
          <w:i/>
          <w:iCs/>
          <w:sz w:val="22"/>
          <w:szCs w:val="22"/>
        </w:rPr>
      </w:pPr>
    </w:p>
    <w:p w14:paraId="0726D248" w14:textId="4DB37F76" w:rsidR="00A82C1A" w:rsidRDefault="00A82C1A" w:rsidP="00007541">
      <w:pPr>
        <w:pStyle w:val="Sinespaciado"/>
        <w:ind w:left="567" w:right="616"/>
        <w:jc w:val="both"/>
        <w:rPr>
          <w:rFonts w:ascii="Arial" w:hAnsi="Arial" w:cs="Arial"/>
          <w:i/>
          <w:iCs/>
          <w:sz w:val="22"/>
          <w:szCs w:val="22"/>
        </w:rPr>
      </w:pPr>
      <w:r w:rsidRPr="00A82C1A">
        <w:rPr>
          <w:rFonts w:ascii="Arial" w:hAnsi="Arial" w:cs="Arial"/>
          <w:i/>
          <w:iCs/>
          <w:sz w:val="22"/>
          <w:szCs w:val="22"/>
        </w:rPr>
        <w:t>Por lo que, a efecto de acreditar los supuestos señalados en el artículo 107 de la Ley General de Transparencia</w:t>
      </w:r>
      <w:r>
        <w:rPr>
          <w:rFonts w:ascii="Arial" w:hAnsi="Arial" w:cs="Arial"/>
          <w:i/>
          <w:iCs/>
          <w:sz w:val="22"/>
          <w:szCs w:val="22"/>
        </w:rPr>
        <w:t xml:space="preserve"> </w:t>
      </w:r>
      <w:r w:rsidRPr="00A82C1A">
        <w:rPr>
          <w:rFonts w:ascii="Arial" w:hAnsi="Arial" w:cs="Arial"/>
          <w:i/>
          <w:iCs/>
          <w:sz w:val="22"/>
          <w:szCs w:val="22"/>
        </w:rPr>
        <w:t>y Acceso a la Información Pública, se me tenga realizando las siguientes consideraciones:</w:t>
      </w:r>
    </w:p>
    <w:p w14:paraId="2A788A2B" w14:textId="2DD0A98A" w:rsidR="00A82C1A" w:rsidRPr="003F2BE5" w:rsidRDefault="00A82C1A" w:rsidP="00007541">
      <w:pPr>
        <w:pStyle w:val="Sinespaciado"/>
        <w:ind w:left="567" w:right="616"/>
        <w:jc w:val="center"/>
        <w:rPr>
          <w:rFonts w:ascii="Arial" w:hAnsi="Arial" w:cs="Arial"/>
          <w:b/>
          <w:bCs/>
          <w:i/>
          <w:iCs/>
          <w:sz w:val="22"/>
          <w:szCs w:val="22"/>
        </w:rPr>
      </w:pPr>
      <w:r w:rsidRPr="003F2BE5">
        <w:rPr>
          <w:rFonts w:ascii="Arial" w:hAnsi="Arial" w:cs="Arial"/>
          <w:b/>
          <w:bCs/>
          <w:i/>
          <w:iCs/>
          <w:sz w:val="22"/>
          <w:szCs w:val="22"/>
        </w:rPr>
        <w:lastRenderedPageBreak/>
        <w:t>PRUEBA DE DAÑO</w:t>
      </w:r>
    </w:p>
    <w:p w14:paraId="761A583D" w14:textId="77777777" w:rsidR="00A82C1A" w:rsidRDefault="00A82C1A" w:rsidP="00007541">
      <w:pPr>
        <w:pStyle w:val="Sinespaciado"/>
        <w:ind w:left="567" w:right="616"/>
        <w:jc w:val="both"/>
        <w:rPr>
          <w:rFonts w:ascii="Arial" w:hAnsi="Arial" w:cs="Arial"/>
          <w:i/>
          <w:iCs/>
          <w:sz w:val="22"/>
          <w:szCs w:val="22"/>
        </w:rPr>
      </w:pPr>
    </w:p>
    <w:p w14:paraId="0A1CAC83" w14:textId="74B69234" w:rsidR="00A82C1A" w:rsidRDefault="003F2BE5" w:rsidP="00007541">
      <w:pPr>
        <w:pStyle w:val="Sinespaciado"/>
        <w:ind w:left="567" w:right="616"/>
        <w:jc w:val="both"/>
        <w:rPr>
          <w:rFonts w:ascii="Arial" w:hAnsi="Arial" w:cs="Arial"/>
          <w:i/>
          <w:iCs/>
          <w:sz w:val="22"/>
          <w:szCs w:val="22"/>
        </w:rPr>
      </w:pPr>
      <w:r w:rsidRPr="003F2BE5">
        <w:rPr>
          <w:rFonts w:ascii="Arial" w:hAnsi="Arial" w:cs="Arial"/>
          <w:i/>
          <w:iCs/>
          <w:sz w:val="22"/>
          <w:szCs w:val="22"/>
        </w:rPr>
        <w:t xml:space="preserve">I. </w:t>
      </w:r>
      <w:r w:rsidR="00A82C1A" w:rsidRPr="00A82C1A">
        <w:rPr>
          <w:rFonts w:ascii="Arial" w:hAnsi="Arial" w:cs="Arial"/>
          <w:i/>
          <w:iCs/>
          <w:sz w:val="22"/>
          <w:szCs w:val="22"/>
          <w:u w:val="single"/>
        </w:rPr>
        <w:t>La divulgación de la información en cita representa un riesgo real, demostrable e identificable de perjuicio significativo</w:t>
      </w:r>
      <w:r w:rsidR="00A82C1A" w:rsidRPr="00A82C1A">
        <w:rPr>
          <w:rFonts w:ascii="Arial" w:hAnsi="Arial" w:cs="Arial"/>
          <w:i/>
          <w:iCs/>
          <w:sz w:val="22"/>
          <w:szCs w:val="22"/>
        </w:rPr>
        <w:t>. La Constitución Política de los Estados Unidos Mexicanos, consagra en sus artículos 14 y 16, el derecho fundamental al debido proces</w:t>
      </w:r>
      <w:r w:rsidR="00A82C1A">
        <w:rPr>
          <w:rFonts w:ascii="Arial" w:hAnsi="Arial" w:cs="Arial"/>
          <w:i/>
          <w:iCs/>
          <w:sz w:val="22"/>
          <w:szCs w:val="22"/>
        </w:rPr>
        <w:t>o</w:t>
      </w:r>
      <w:r w:rsidR="00A82C1A" w:rsidRPr="00A82C1A">
        <w:rPr>
          <w:rFonts w:ascii="Arial" w:hAnsi="Arial" w:cs="Arial"/>
          <w:i/>
          <w:iCs/>
          <w:sz w:val="22"/>
          <w:szCs w:val="22"/>
        </w:rPr>
        <w:t xml:space="preserve">, mismo que debe estar presente en toda clase de procesos, no sólo en aquellos de orden penal, sino de tipo </w:t>
      </w:r>
      <w:r w:rsidR="00A82C1A">
        <w:rPr>
          <w:rFonts w:ascii="Arial" w:hAnsi="Arial" w:cs="Arial"/>
          <w:i/>
          <w:iCs/>
          <w:sz w:val="22"/>
          <w:szCs w:val="22"/>
        </w:rPr>
        <w:t>c</w:t>
      </w:r>
      <w:r w:rsidR="00A82C1A" w:rsidRPr="00A82C1A">
        <w:rPr>
          <w:rFonts w:ascii="Arial" w:hAnsi="Arial" w:cs="Arial"/>
          <w:i/>
          <w:iCs/>
          <w:sz w:val="22"/>
          <w:szCs w:val="22"/>
        </w:rPr>
        <w:t xml:space="preserve">ivil, </w:t>
      </w:r>
      <w:r w:rsidR="00A82C1A" w:rsidRPr="003F2BE5">
        <w:rPr>
          <w:rFonts w:ascii="Arial" w:hAnsi="Arial" w:cs="Arial"/>
          <w:b/>
          <w:bCs/>
          <w:i/>
          <w:iCs/>
          <w:sz w:val="22"/>
          <w:szCs w:val="22"/>
        </w:rPr>
        <w:t>administrativo</w:t>
      </w:r>
      <w:r w:rsidR="00A82C1A" w:rsidRPr="00A82C1A">
        <w:rPr>
          <w:rFonts w:ascii="Arial" w:hAnsi="Arial" w:cs="Arial"/>
          <w:i/>
          <w:iCs/>
          <w:sz w:val="22"/>
          <w:szCs w:val="22"/>
        </w:rPr>
        <w:t xml:space="preserve"> o de cualquier otra índole. </w:t>
      </w:r>
    </w:p>
    <w:p w14:paraId="34CE099D" w14:textId="77777777" w:rsidR="00A82C1A" w:rsidRDefault="00A82C1A" w:rsidP="00007541">
      <w:pPr>
        <w:pStyle w:val="Sinespaciado"/>
        <w:ind w:left="567" w:right="616"/>
        <w:jc w:val="both"/>
        <w:rPr>
          <w:rFonts w:ascii="Arial" w:hAnsi="Arial" w:cs="Arial"/>
          <w:i/>
          <w:iCs/>
          <w:sz w:val="22"/>
          <w:szCs w:val="22"/>
        </w:rPr>
      </w:pPr>
    </w:p>
    <w:p w14:paraId="7CF4541A" w14:textId="1016BBB6" w:rsidR="003F2BE5" w:rsidRPr="003F2BE5" w:rsidRDefault="00A82C1A" w:rsidP="00007541">
      <w:pPr>
        <w:pStyle w:val="Sinespaciado"/>
        <w:ind w:left="567" w:right="616"/>
        <w:jc w:val="both"/>
        <w:rPr>
          <w:rFonts w:ascii="Arial" w:hAnsi="Arial" w:cs="Arial"/>
          <w:i/>
          <w:iCs/>
          <w:sz w:val="22"/>
          <w:szCs w:val="22"/>
        </w:rPr>
      </w:pPr>
      <w:r w:rsidRPr="00A82C1A">
        <w:rPr>
          <w:rFonts w:ascii="Arial" w:hAnsi="Arial" w:cs="Arial"/>
          <w:i/>
          <w:iCs/>
          <w:sz w:val="22"/>
          <w:szCs w:val="22"/>
        </w:rPr>
        <w:t xml:space="preserve">En ese sentido, se refiere que el </w:t>
      </w:r>
      <w:r w:rsidRPr="003F2BE5">
        <w:rPr>
          <w:rFonts w:ascii="Arial" w:hAnsi="Arial" w:cs="Arial"/>
          <w:b/>
          <w:bCs/>
          <w:i/>
          <w:iCs/>
          <w:sz w:val="22"/>
          <w:szCs w:val="22"/>
        </w:rPr>
        <w:t>debido proceso</w:t>
      </w:r>
      <w:r w:rsidRPr="00A82C1A">
        <w:rPr>
          <w:rFonts w:ascii="Arial" w:hAnsi="Arial" w:cs="Arial"/>
          <w:i/>
          <w:iCs/>
          <w:sz w:val="22"/>
          <w:szCs w:val="22"/>
        </w:rPr>
        <w:t xml:space="preserve"> es el conjunto de formalidades</w:t>
      </w:r>
      <w:r>
        <w:rPr>
          <w:rFonts w:ascii="Arial" w:hAnsi="Arial" w:cs="Arial"/>
          <w:i/>
          <w:iCs/>
          <w:sz w:val="22"/>
          <w:szCs w:val="22"/>
        </w:rPr>
        <w:t xml:space="preserve"> </w:t>
      </w:r>
      <w:r w:rsidRPr="00A82C1A">
        <w:rPr>
          <w:rFonts w:ascii="Arial" w:hAnsi="Arial" w:cs="Arial"/>
          <w:i/>
          <w:iCs/>
          <w:sz w:val="22"/>
          <w:szCs w:val="22"/>
        </w:rPr>
        <w:t xml:space="preserve">esenciales que deben observarse en cualquier procedimiento legal, para asegurar o defender os derechos y libertades de toda persona, </w:t>
      </w:r>
      <w:r w:rsidRPr="003F2BE5">
        <w:rPr>
          <w:rFonts w:ascii="Arial" w:hAnsi="Arial" w:cs="Arial"/>
          <w:b/>
          <w:bCs/>
          <w:i/>
          <w:iCs/>
          <w:sz w:val="22"/>
          <w:szCs w:val="22"/>
        </w:rPr>
        <w:t>en el caso en concreto del servidor público señalado como presunto responsable de la comisión de una falta administrativa</w:t>
      </w:r>
      <w:r w:rsidRPr="00A82C1A">
        <w:rPr>
          <w:rFonts w:ascii="Arial" w:hAnsi="Arial" w:cs="Arial"/>
          <w:i/>
          <w:iCs/>
          <w:sz w:val="22"/>
          <w:szCs w:val="22"/>
        </w:rPr>
        <w:t xml:space="preserve">; del particular, sea persona </w:t>
      </w:r>
      <w:r w:rsidR="003F2BE5" w:rsidRPr="00A82C1A">
        <w:rPr>
          <w:rFonts w:ascii="Arial" w:hAnsi="Arial" w:cs="Arial"/>
          <w:i/>
          <w:iCs/>
          <w:sz w:val="22"/>
          <w:szCs w:val="22"/>
        </w:rPr>
        <w:t>física</w:t>
      </w:r>
      <w:r w:rsidRPr="00A82C1A">
        <w:rPr>
          <w:rFonts w:ascii="Arial" w:hAnsi="Arial" w:cs="Arial"/>
          <w:i/>
          <w:iCs/>
          <w:sz w:val="22"/>
          <w:szCs w:val="22"/>
        </w:rPr>
        <w:t xml:space="preserve"> o moral, señalado como presunto responsable en la comisión de faltas de particulares, y/o de los terceros, que son todos aquellos a quienes pueda afectar la resolución que se dicte en el</w:t>
      </w:r>
      <w:r w:rsidR="003F2BE5">
        <w:rPr>
          <w:rFonts w:ascii="Arial" w:hAnsi="Arial" w:cs="Arial"/>
          <w:i/>
          <w:iCs/>
          <w:sz w:val="22"/>
          <w:szCs w:val="22"/>
        </w:rPr>
        <w:t xml:space="preserve"> </w:t>
      </w:r>
      <w:r w:rsidR="003F2BE5" w:rsidRPr="003F2BE5">
        <w:rPr>
          <w:rFonts w:ascii="Arial" w:hAnsi="Arial" w:cs="Arial"/>
          <w:i/>
          <w:iCs/>
          <w:sz w:val="22"/>
          <w:szCs w:val="22"/>
        </w:rPr>
        <w:t xml:space="preserve">procedimiento de responsabilidad administrativa, incluido el denunciante; lo que incluso pudiera afectar la esfera personal y jurídica de los involucrados. </w:t>
      </w:r>
    </w:p>
    <w:p w14:paraId="608B4A87" w14:textId="77777777" w:rsidR="003F2BE5" w:rsidRDefault="003F2BE5" w:rsidP="00007541">
      <w:pPr>
        <w:pStyle w:val="Sinespaciado"/>
        <w:ind w:left="567" w:right="616"/>
        <w:jc w:val="both"/>
        <w:rPr>
          <w:rFonts w:ascii="Arial" w:hAnsi="Arial" w:cs="Arial"/>
          <w:i/>
          <w:iCs/>
          <w:sz w:val="22"/>
          <w:szCs w:val="22"/>
        </w:rPr>
      </w:pPr>
    </w:p>
    <w:p w14:paraId="34215416" w14:textId="55396FE4" w:rsidR="003F2BE5" w:rsidRPr="003F2BE5" w:rsidRDefault="003F2BE5" w:rsidP="00007541">
      <w:pPr>
        <w:pStyle w:val="Sinespaciado"/>
        <w:ind w:left="567" w:right="616"/>
        <w:jc w:val="both"/>
        <w:rPr>
          <w:rFonts w:ascii="Arial" w:hAnsi="Arial" w:cs="Arial"/>
          <w:i/>
          <w:iCs/>
          <w:sz w:val="22"/>
          <w:szCs w:val="22"/>
        </w:rPr>
      </w:pPr>
      <w:r w:rsidRPr="003F2BE5">
        <w:rPr>
          <w:rFonts w:ascii="Arial" w:hAnsi="Arial" w:cs="Arial"/>
          <w:i/>
          <w:iCs/>
          <w:sz w:val="22"/>
          <w:szCs w:val="22"/>
        </w:rPr>
        <w:t xml:space="preserve">Así, las autoridades deben respetar y privilegiar los medios que toda persona tiene para hacer valer sus derechos, es decir, deben asegurar o defender sus libertades, mismas que se traducen como "derecho a un recurso"; asimismo, las autoridades, también deben garantizar y asegurar que toda persona y/o servidor público acusado de la comisión de una falta administrativa pueda defenderse y garantizar el cumplimiento de sus derechos. </w:t>
      </w:r>
    </w:p>
    <w:p w14:paraId="7FDD7E39" w14:textId="77777777" w:rsidR="003F2BE5" w:rsidRDefault="003F2BE5" w:rsidP="00007541">
      <w:pPr>
        <w:pStyle w:val="Sinespaciado"/>
        <w:ind w:left="567" w:right="616"/>
        <w:jc w:val="both"/>
        <w:rPr>
          <w:rFonts w:ascii="Arial" w:hAnsi="Arial" w:cs="Arial"/>
          <w:i/>
          <w:iCs/>
          <w:sz w:val="22"/>
          <w:szCs w:val="22"/>
        </w:rPr>
      </w:pPr>
    </w:p>
    <w:p w14:paraId="7DA39526" w14:textId="1A732F0D" w:rsidR="003F2BE5" w:rsidRPr="003F2BE5" w:rsidRDefault="003F2BE5" w:rsidP="00007541">
      <w:pPr>
        <w:pStyle w:val="Sinespaciado"/>
        <w:ind w:left="567" w:right="616"/>
        <w:jc w:val="both"/>
        <w:rPr>
          <w:rFonts w:ascii="Arial" w:hAnsi="Arial" w:cs="Arial"/>
          <w:i/>
          <w:iCs/>
          <w:sz w:val="22"/>
          <w:szCs w:val="22"/>
        </w:rPr>
      </w:pPr>
      <w:r w:rsidRPr="003F2BE5">
        <w:rPr>
          <w:rFonts w:ascii="Arial" w:hAnsi="Arial" w:cs="Arial"/>
          <w:i/>
          <w:iCs/>
          <w:sz w:val="22"/>
          <w:szCs w:val="22"/>
        </w:rPr>
        <w:t xml:space="preserve">Habida razón que conforme a lo dispuesto en el artículo 1 párrafo tercero de la </w:t>
      </w:r>
    </w:p>
    <w:p w14:paraId="7A2DBFC9" w14:textId="5304CB4B" w:rsidR="00A82C1A" w:rsidRDefault="003F2BE5" w:rsidP="00007541">
      <w:pPr>
        <w:pStyle w:val="Sinespaciado"/>
        <w:ind w:left="567" w:right="616"/>
        <w:jc w:val="both"/>
        <w:rPr>
          <w:rFonts w:ascii="Arial" w:hAnsi="Arial" w:cs="Arial"/>
          <w:i/>
          <w:iCs/>
          <w:sz w:val="22"/>
          <w:szCs w:val="22"/>
        </w:rPr>
      </w:pPr>
      <w:r w:rsidRPr="003F2BE5">
        <w:rPr>
          <w:rFonts w:ascii="Arial" w:hAnsi="Arial" w:cs="Arial"/>
          <w:i/>
          <w:iCs/>
          <w:sz w:val="22"/>
          <w:szCs w:val="22"/>
        </w:rPr>
        <w:t>Constitución Política de los Estados Unidos Mexicanos que a la letra establece:</w:t>
      </w:r>
    </w:p>
    <w:p w14:paraId="79F7CF30" w14:textId="32D46790" w:rsidR="003F2BE5" w:rsidRDefault="003F2BE5" w:rsidP="00007541">
      <w:pPr>
        <w:pStyle w:val="Sinespaciado"/>
        <w:ind w:left="567" w:right="616"/>
        <w:jc w:val="both"/>
        <w:rPr>
          <w:rFonts w:ascii="Arial" w:hAnsi="Arial" w:cs="Arial"/>
          <w:i/>
          <w:iCs/>
          <w:sz w:val="22"/>
          <w:szCs w:val="22"/>
        </w:rPr>
      </w:pPr>
    </w:p>
    <w:p w14:paraId="14AB8B9D" w14:textId="1417BA6A" w:rsidR="003F2BE5" w:rsidRPr="003F2BE5" w:rsidRDefault="003F2BE5" w:rsidP="00007541">
      <w:pPr>
        <w:pStyle w:val="Sinespaciado"/>
        <w:ind w:left="993" w:right="1041"/>
        <w:jc w:val="both"/>
        <w:rPr>
          <w:rFonts w:ascii="Arial" w:hAnsi="Arial" w:cs="Arial"/>
          <w:b/>
          <w:bCs/>
          <w:i/>
          <w:iCs/>
          <w:sz w:val="22"/>
          <w:szCs w:val="22"/>
        </w:rPr>
      </w:pPr>
      <w:r w:rsidRPr="003F2BE5">
        <w:rPr>
          <w:rFonts w:ascii="Arial" w:hAnsi="Arial" w:cs="Arial"/>
          <w:b/>
          <w:bCs/>
          <w:i/>
          <w:iCs/>
          <w:sz w:val="22"/>
          <w:szCs w:val="22"/>
        </w:rPr>
        <w:t>Artículo 1o.…</w:t>
      </w:r>
    </w:p>
    <w:p w14:paraId="1995D45C" w14:textId="6D5726B5" w:rsidR="003F2BE5" w:rsidRPr="003F2BE5" w:rsidRDefault="003F2BE5" w:rsidP="00007541">
      <w:pPr>
        <w:pStyle w:val="Sinespaciado"/>
        <w:ind w:left="993" w:right="1041"/>
        <w:jc w:val="both"/>
        <w:rPr>
          <w:rFonts w:ascii="Arial" w:hAnsi="Arial" w:cs="Arial"/>
          <w:b/>
          <w:bCs/>
          <w:i/>
          <w:iCs/>
          <w:sz w:val="22"/>
          <w:szCs w:val="22"/>
        </w:rPr>
      </w:pPr>
      <w:r w:rsidRPr="003F2BE5">
        <w:rPr>
          <w:rFonts w:ascii="Arial" w:hAnsi="Arial" w:cs="Arial"/>
          <w:b/>
          <w:bCs/>
          <w:i/>
          <w:iCs/>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66AEFB1" w14:textId="77777777" w:rsidR="003F2BE5" w:rsidRDefault="003F2BE5" w:rsidP="00007541">
      <w:pPr>
        <w:pStyle w:val="Sinespaciado"/>
        <w:ind w:left="567" w:right="616"/>
        <w:jc w:val="both"/>
        <w:rPr>
          <w:rFonts w:ascii="Arial" w:hAnsi="Arial" w:cs="Arial"/>
          <w:i/>
          <w:iCs/>
          <w:sz w:val="22"/>
          <w:szCs w:val="22"/>
        </w:rPr>
      </w:pPr>
    </w:p>
    <w:p w14:paraId="4CAEE833" w14:textId="6C72EA2F" w:rsidR="003F2BE5" w:rsidRPr="003F2BE5" w:rsidRDefault="003F2BE5" w:rsidP="00007541">
      <w:pPr>
        <w:pStyle w:val="Sinespaciado"/>
        <w:ind w:left="567" w:right="616"/>
        <w:jc w:val="both"/>
        <w:rPr>
          <w:rFonts w:ascii="Arial" w:hAnsi="Arial" w:cs="Arial"/>
          <w:i/>
          <w:iCs/>
          <w:sz w:val="22"/>
          <w:szCs w:val="22"/>
        </w:rPr>
      </w:pPr>
      <w:r w:rsidRPr="003F2BE5">
        <w:rPr>
          <w:rFonts w:ascii="Arial" w:hAnsi="Arial" w:cs="Arial"/>
          <w:i/>
          <w:iCs/>
          <w:sz w:val="22"/>
          <w:szCs w:val="22"/>
        </w:rPr>
        <w:t>Es así entonces, que este sujeto obligado, tiene el deber de respetar la presunción de inocencia que le asiste a todas las personas servidoras públicas quienes se encuentren bajo la investigación de la comisión de presuntas faltas administrativas, pues la presunción de inocencia es un pilar del sistema judicial moderno y está</w:t>
      </w:r>
      <w:r>
        <w:rPr>
          <w:rFonts w:ascii="Arial" w:hAnsi="Arial" w:cs="Arial"/>
          <w:i/>
          <w:iCs/>
          <w:sz w:val="22"/>
          <w:szCs w:val="22"/>
        </w:rPr>
        <w:t xml:space="preserve"> </w:t>
      </w:r>
      <w:r w:rsidRPr="003F2BE5">
        <w:rPr>
          <w:rFonts w:ascii="Arial" w:hAnsi="Arial" w:cs="Arial"/>
          <w:i/>
          <w:iCs/>
          <w:sz w:val="22"/>
          <w:szCs w:val="22"/>
        </w:rPr>
        <w:t xml:space="preserve">respaldada por diversos instrumentos internacionales de derechos humanos. Por ejemplo, la </w:t>
      </w:r>
      <w:r w:rsidRPr="003F2BE5">
        <w:rPr>
          <w:rFonts w:ascii="Arial" w:hAnsi="Arial" w:cs="Arial"/>
          <w:b/>
          <w:bCs/>
          <w:i/>
          <w:iCs/>
          <w:sz w:val="22"/>
          <w:szCs w:val="22"/>
        </w:rPr>
        <w:t>Declaración Universal de Derechos Humanos</w:t>
      </w:r>
      <w:r w:rsidRPr="003F2BE5">
        <w:rPr>
          <w:rFonts w:ascii="Arial" w:hAnsi="Arial" w:cs="Arial"/>
          <w:i/>
          <w:iCs/>
          <w:sz w:val="22"/>
          <w:szCs w:val="22"/>
        </w:rPr>
        <w:t xml:space="preserve"> establece que "toda persona acusada de un delito o fata administrativa, tiene derecho a que se presuma su inocencia mientras no se pruebe su culpabilidad". Asimismo, el </w:t>
      </w:r>
      <w:r w:rsidRPr="003F2BE5">
        <w:rPr>
          <w:rFonts w:ascii="Arial" w:hAnsi="Arial" w:cs="Arial"/>
          <w:b/>
          <w:bCs/>
          <w:i/>
          <w:iCs/>
          <w:sz w:val="22"/>
          <w:szCs w:val="22"/>
        </w:rPr>
        <w:t>Pacto Internacional de Derechos Civiles y Políticos</w:t>
      </w:r>
      <w:r w:rsidRPr="003F2BE5">
        <w:rPr>
          <w:rFonts w:ascii="Arial" w:hAnsi="Arial" w:cs="Arial"/>
          <w:i/>
          <w:iCs/>
          <w:sz w:val="22"/>
          <w:szCs w:val="22"/>
        </w:rPr>
        <w:t xml:space="preserve"> también garantiza este derecho, subrayando su importancia en el contexto de un juicio justo, es por ello que la documentación contenida en referidos expedientes, debe ser reservada hasta que haya una resolución</w:t>
      </w:r>
      <w:r>
        <w:rPr>
          <w:rFonts w:ascii="Arial" w:hAnsi="Arial" w:cs="Arial"/>
          <w:i/>
          <w:iCs/>
          <w:sz w:val="22"/>
          <w:szCs w:val="22"/>
        </w:rPr>
        <w:t xml:space="preserve"> </w:t>
      </w:r>
      <w:r w:rsidRPr="003F2BE5">
        <w:rPr>
          <w:rFonts w:ascii="Arial" w:hAnsi="Arial" w:cs="Arial"/>
          <w:i/>
          <w:iCs/>
          <w:sz w:val="22"/>
          <w:szCs w:val="22"/>
        </w:rPr>
        <w:t xml:space="preserve">administrativa firme. </w:t>
      </w:r>
    </w:p>
    <w:p w14:paraId="7973E2C9" w14:textId="77777777" w:rsidR="003F2BE5" w:rsidRDefault="003F2BE5" w:rsidP="00007541">
      <w:pPr>
        <w:pStyle w:val="Sinespaciado"/>
        <w:ind w:left="567" w:right="616"/>
        <w:jc w:val="both"/>
        <w:rPr>
          <w:rFonts w:ascii="Arial" w:hAnsi="Arial" w:cs="Arial"/>
          <w:i/>
          <w:iCs/>
          <w:sz w:val="22"/>
          <w:szCs w:val="22"/>
        </w:rPr>
      </w:pPr>
    </w:p>
    <w:p w14:paraId="27308AD0" w14:textId="5F012F90" w:rsidR="003F2BE5" w:rsidRDefault="003F2BE5" w:rsidP="00007541">
      <w:pPr>
        <w:pStyle w:val="Sinespaciado"/>
        <w:ind w:left="567" w:right="616"/>
        <w:jc w:val="both"/>
        <w:rPr>
          <w:rFonts w:ascii="Arial" w:hAnsi="Arial" w:cs="Arial"/>
          <w:i/>
          <w:iCs/>
          <w:sz w:val="22"/>
          <w:szCs w:val="22"/>
        </w:rPr>
      </w:pPr>
      <w:r w:rsidRPr="003F2BE5">
        <w:rPr>
          <w:rFonts w:ascii="Arial" w:hAnsi="Arial" w:cs="Arial"/>
          <w:i/>
          <w:iCs/>
          <w:sz w:val="22"/>
          <w:szCs w:val="22"/>
        </w:rPr>
        <w:t>Por lo anterior, al dar a conocer la información solicitada, se produciría un daño a la garantía procesal del servidor público, particulares y</w:t>
      </w:r>
      <w:r>
        <w:rPr>
          <w:rFonts w:ascii="Arial" w:hAnsi="Arial" w:cs="Arial"/>
          <w:i/>
          <w:iCs/>
          <w:sz w:val="22"/>
          <w:szCs w:val="22"/>
        </w:rPr>
        <w:t>/</w:t>
      </w:r>
      <w:r w:rsidRPr="003F2BE5">
        <w:rPr>
          <w:rFonts w:ascii="Arial" w:hAnsi="Arial" w:cs="Arial"/>
          <w:i/>
          <w:iCs/>
          <w:sz w:val="22"/>
          <w:szCs w:val="22"/>
        </w:rPr>
        <w:t xml:space="preserve">o terceros involucrados en el expediente administrativo, ya que se considera que con la divulgación de la información contenida en las constancias del expediente en comento </w:t>
      </w:r>
      <w:r w:rsidRPr="003F2BE5">
        <w:rPr>
          <w:rFonts w:ascii="Arial" w:hAnsi="Arial" w:cs="Arial"/>
          <w:b/>
          <w:bCs/>
          <w:i/>
          <w:iCs/>
          <w:sz w:val="22"/>
          <w:szCs w:val="22"/>
        </w:rPr>
        <w:t>se vulneraria el debido proceso con el que cuentan los involucrados, como la adecuada impartición de justicia por parte de la autoridad resolutora</w:t>
      </w:r>
      <w:r w:rsidRPr="003F2BE5">
        <w:rPr>
          <w:rFonts w:ascii="Arial" w:hAnsi="Arial" w:cs="Arial"/>
          <w:i/>
          <w:iCs/>
          <w:sz w:val="22"/>
          <w:szCs w:val="22"/>
        </w:rPr>
        <w:t xml:space="preserve">, en tanto que la resolución emitida dentro del </w:t>
      </w:r>
      <w:r w:rsidRPr="003F2BE5">
        <w:rPr>
          <w:rFonts w:ascii="Arial" w:hAnsi="Arial" w:cs="Arial"/>
          <w:i/>
          <w:iCs/>
          <w:sz w:val="22"/>
          <w:szCs w:val="22"/>
        </w:rPr>
        <w:lastRenderedPageBreak/>
        <w:t>procedimiento administrativo sancionador que aún no tiene el carácter de</w:t>
      </w:r>
      <w:r w:rsidRPr="003F2BE5">
        <w:t xml:space="preserve"> </w:t>
      </w:r>
      <w:r w:rsidRPr="003F2BE5">
        <w:rPr>
          <w:rFonts w:ascii="Arial" w:hAnsi="Arial" w:cs="Arial"/>
          <w:i/>
          <w:iCs/>
          <w:sz w:val="22"/>
          <w:szCs w:val="22"/>
        </w:rPr>
        <w:t xml:space="preserve">firme; por lo que debe reservarse para efectos de mantener la materia del mismo hasta que cause estado y se considere firme. </w:t>
      </w:r>
    </w:p>
    <w:p w14:paraId="4B8A8FC3" w14:textId="77777777" w:rsidR="003F2BE5" w:rsidRPr="003F2BE5" w:rsidRDefault="003F2BE5" w:rsidP="00007541">
      <w:pPr>
        <w:pStyle w:val="Sinespaciado"/>
        <w:ind w:left="567" w:right="616"/>
        <w:jc w:val="both"/>
        <w:rPr>
          <w:rFonts w:ascii="Arial" w:hAnsi="Arial" w:cs="Arial"/>
          <w:i/>
          <w:iCs/>
          <w:sz w:val="22"/>
          <w:szCs w:val="22"/>
        </w:rPr>
      </w:pPr>
    </w:p>
    <w:p w14:paraId="469CC160" w14:textId="538268A1" w:rsidR="003F2BE5" w:rsidRPr="003F2BE5" w:rsidRDefault="003F2BE5" w:rsidP="00007541">
      <w:pPr>
        <w:pStyle w:val="Sinespaciado"/>
        <w:ind w:left="567" w:right="616"/>
        <w:jc w:val="both"/>
        <w:rPr>
          <w:rFonts w:ascii="Arial" w:hAnsi="Arial" w:cs="Arial"/>
          <w:i/>
          <w:iCs/>
          <w:sz w:val="22"/>
          <w:szCs w:val="22"/>
        </w:rPr>
      </w:pPr>
      <w:r w:rsidRPr="003F2BE5">
        <w:rPr>
          <w:rFonts w:ascii="Arial" w:hAnsi="Arial" w:cs="Arial"/>
          <w:i/>
          <w:iCs/>
          <w:sz w:val="22"/>
          <w:szCs w:val="22"/>
        </w:rPr>
        <w:t xml:space="preserve">II. </w:t>
      </w:r>
      <w:r w:rsidRPr="003F2BE5">
        <w:rPr>
          <w:rFonts w:ascii="Arial" w:hAnsi="Arial" w:cs="Arial"/>
          <w:i/>
          <w:iCs/>
          <w:sz w:val="22"/>
          <w:szCs w:val="22"/>
          <w:u w:val="single"/>
        </w:rPr>
        <w:t>El riesgo de perjuicio que supondría la divulgación de estos documentos, supera el interés público general de que se difunda</w:t>
      </w:r>
      <w:r w:rsidRPr="003F2BE5">
        <w:rPr>
          <w:rFonts w:ascii="Arial" w:hAnsi="Arial" w:cs="Arial"/>
          <w:i/>
          <w:iCs/>
          <w:sz w:val="22"/>
          <w:szCs w:val="22"/>
        </w:rPr>
        <w:t>. Dar a conocer parte o la totalidad de las</w:t>
      </w:r>
      <w:r>
        <w:rPr>
          <w:rFonts w:ascii="Arial" w:hAnsi="Arial" w:cs="Arial"/>
          <w:i/>
          <w:iCs/>
          <w:sz w:val="22"/>
          <w:szCs w:val="22"/>
        </w:rPr>
        <w:t xml:space="preserve"> </w:t>
      </w:r>
      <w:r w:rsidRPr="003F2BE5">
        <w:rPr>
          <w:rFonts w:ascii="Arial" w:hAnsi="Arial" w:cs="Arial"/>
          <w:i/>
          <w:iCs/>
          <w:sz w:val="22"/>
          <w:szCs w:val="22"/>
        </w:rPr>
        <w:t xml:space="preserve">constancias contenidas en el expediente administrativo que nos ocupa, vulneraría el bien jurídico tutelado, es decir el </w:t>
      </w:r>
      <w:r w:rsidRPr="003F2BE5">
        <w:rPr>
          <w:rFonts w:ascii="Arial" w:hAnsi="Arial" w:cs="Arial"/>
          <w:b/>
          <w:bCs/>
          <w:i/>
          <w:iCs/>
          <w:sz w:val="22"/>
          <w:szCs w:val="22"/>
        </w:rPr>
        <w:t>derecho al debido proceso</w:t>
      </w:r>
      <w:r w:rsidRPr="003F2BE5">
        <w:rPr>
          <w:rFonts w:ascii="Arial" w:hAnsi="Arial" w:cs="Arial"/>
          <w:i/>
          <w:iCs/>
          <w:sz w:val="22"/>
          <w:szCs w:val="22"/>
        </w:rPr>
        <w:t>, que protege la causal de reserva prevista en la fracción X, del artículo 112 de la Ley General de Transparencia y Acceso a la Información Pública; por lo cual, debe privilegiarse el sigilo de la información hasta en tanto se conozca sobre la interposición de algún medio de</w:t>
      </w:r>
      <w:r>
        <w:rPr>
          <w:rFonts w:ascii="Arial" w:hAnsi="Arial" w:cs="Arial"/>
          <w:i/>
          <w:iCs/>
          <w:sz w:val="22"/>
          <w:szCs w:val="22"/>
        </w:rPr>
        <w:t xml:space="preserve"> </w:t>
      </w:r>
      <w:r w:rsidRPr="003F2BE5">
        <w:rPr>
          <w:rFonts w:ascii="Arial" w:hAnsi="Arial" w:cs="Arial"/>
          <w:i/>
          <w:iCs/>
          <w:sz w:val="22"/>
          <w:szCs w:val="22"/>
        </w:rPr>
        <w:t>defensa en contra de las resoluciones administrativas y se dirima en su totalidad el litigio, pues de lo contrario se estaría en riesgo de transgredir el principio de presunción</w:t>
      </w:r>
      <w:r>
        <w:rPr>
          <w:rFonts w:ascii="Arial" w:hAnsi="Arial" w:cs="Arial"/>
          <w:i/>
          <w:iCs/>
          <w:sz w:val="22"/>
          <w:szCs w:val="22"/>
        </w:rPr>
        <w:t xml:space="preserve"> </w:t>
      </w:r>
      <w:r w:rsidRPr="003F2BE5">
        <w:rPr>
          <w:rFonts w:ascii="Arial" w:hAnsi="Arial" w:cs="Arial"/>
          <w:i/>
          <w:iCs/>
          <w:sz w:val="22"/>
          <w:szCs w:val="22"/>
        </w:rPr>
        <w:t>de inocencia del que goza el servidor público implicado, en tanto no sea declarada la firmeza de su responsabilidad y de la sanción impuesta.</w:t>
      </w:r>
    </w:p>
    <w:p w14:paraId="3461697E" w14:textId="77777777" w:rsidR="003F2BE5" w:rsidRDefault="003F2BE5" w:rsidP="00007541">
      <w:pPr>
        <w:pStyle w:val="Sinespaciado"/>
        <w:ind w:left="567" w:right="616"/>
        <w:jc w:val="both"/>
        <w:rPr>
          <w:rFonts w:ascii="Arial" w:hAnsi="Arial" w:cs="Arial"/>
          <w:i/>
          <w:iCs/>
          <w:sz w:val="22"/>
          <w:szCs w:val="22"/>
        </w:rPr>
      </w:pPr>
    </w:p>
    <w:p w14:paraId="332AD588" w14:textId="22776492" w:rsidR="003F2BE5" w:rsidRPr="003F2BE5" w:rsidRDefault="003F2BE5" w:rsidP="00007541">
      <w:pPr>
        <w:pStyle w:val="Sinespaciado"/>
        <w:ind w:left="567" w:right="616"/>
        <w:jc w:val="both"/>
        <w:rPr>
          <w:rFonts w:ascii="Arial" w:hAnsi="Arial" w:cs="Arial"/>
          <w:i/>
          <w:iCs/>
          <w:sz w:val="22"/>
          <w:szCs w:val="22"/>
        </w:rPr>
      </w:pPr>
      <w:r w:rsidRPr="003F2BE5">
        <w:rPr>
          <w:rFonts w:ascii="Arial" w:hAnsi="Arial" w:cs="Arial"/>
          <w:i/>
          <w:iCs/>
          <w:sz w:val="22"/>
          <w:szCs w:val="22"/>
        </w:rPr>
        <w:t>A mayor abundamiento, se debe privilegiar el derecho de os servidores públicos, particulares y</w:t>
      </w:r>
      <w:r>
        <w:rPr>
          <w:rFonts w:ascii="Arial" w:hAnsi="Arial" w:cs="Arial"/>
          <w:i/>
          <w:iCs/>
          <w:sz w:val="22"/>
          <w:szCs w:val="22"/>
        </w:rPr>
        <w:t>/</w:t>
      </w:r>
      <w:r w:rsidRPr="003F2BE5">
        <w:rPr>
          <w:rFonts w:ascii="Arial" w:hAnsi="Arial" w:cs="Arial"/>
          <w:i/>
          <w:iCs/>
          <w:sz w:val="22"/>
          <w:szCs w:val="22"/>
        </w:rPr>
        <w:t>o terceros involucrados, a interponer un medio de impugnación y a ser</w:t>
      </w:r>
      <w:r>
        <w:rPr>
          <w:rFonts w:ascii="Arial" w:hAnsi="Arial" w:cs="Arial"/>
          <w:i/>
          <w:iCs/>
          <w:sz w:val="22"/>
          <w:szCs w:val="22"/>
        </w:rPr>
        <w:t xml:space="preserve"> </w:t>
      </w:r>
      <w:r w:rsidRPr="003F2BE5">
        <w:rPr>
          <w:rFonts w:ascii="Arial" w:hAnsi="Arial" w:cs="Arial"/>
          <w:i/>
          <w:iCs/>
          <w:sz w:val="22"/>
          <w:szCs w:val="22"/>
        </w:rPr>
        <w:t>escuchados públicamente por la autoridad competente; esto quiere decir que, las personas y</w:t>
      </w:r>
      <w:r>
        <w:rPr>
          <w:rFonts w:ascii="Arial" w:hAnsi="Arial" w:cs="Arial"/>
          <w:i/>
          <w:iCs/>
          <w:sz w:val="22"/>
          <w:szCs w:val="22"/>
        </w:rPr>
        <w:t>/</w:t>
      </w:r>
      <w:r w:rsidRPr="003F2BE5">
        <w:rPr>
          <w:rFonts w:ascii="Arial" w:hAnsi="Arial" w:cs="Arial"/>
          <w:i/>
          <w:iCs/>
          <w:sz w:val="22"/>
          <w:szCs w:val="22"/>
        </w:rPr>
        <w:t>o servidores públicos acusados de haber cometido una falta administrativa, deben ser oídos en un acto transparente y abierto, ante una autoridad que legalmente</w:t>
      </w:r>
      <w:r>
        <w:rPr>
          <w:rFonts w:ascii="Arial" w:hAnsi="Arial" w:cs="Arial"/>
          <w:i/>
          <w:iCs/>
          <w:sz w:val="22"/>
          <w:szCs w:val="22"/>
        </w:rPr>
        <w:t xml:space="preserve"> </w:t>
      </w:r>
      <w:r w:rsidRPr="003F2BE5">
        <w:rPr>
          <w:rFonts w:ascii="Arial" w:hAnsi="Arial" w:cs="Arial"/>
          <w:i/>
          <w:iCs/>
          <w:sz w:val="22"/>
          <w:szCs w:val="22"/>
        </w:rPr>
        <w:t xml:space="preserve">sea competente para tomar decisiones sobre el caso, que sea Imparcial, y que juzgue conforme a las leyes y sin consideraciones personales, morales o políticas. </w:t>
      </w:r>
    </w:p>
    <w:p w14:paraId="724AB272" w14:textId="77777777" w:rsidR="003F2BE5" w:rsidRDefault="003F2BE5" w:rsidP="00007541">
      <w:pPr>
        <w:pStyle w:val="Sinespaciado"/>
        <w:ind w:left="567" w:right="616"/>
        <w:jc w:val="both"/>
        <w:rPr>
          <w:rFonts w:ascii="Arial" w:hAnsi="Arial" w:cs="Arial"/>
          <w:i/>
          <w:iCs/>
          <w:sz w:val="22"/>
          <w:szCs w:val="22"/>
        </w:rPr>
      </w:pPr>
    </w:p>
    <w:p w14:paraId="5E3E48F8" w14:textId="799E4652" w:rsidR="003F2BE5" w:rsidRPr="003F2BE5" w:rsidRDefault="003F2BE5" w:rsidP="00007541">
      <w:pPr>
        <w:pStyle w:val="Sinespaciado"/>
        <w:ind w:left="567" w:right="616"/>
        <w:jc w:val="both"/>
        <w:rPr>
          <w:rFonts w:ascii="Arial" w:hAnsi="Arial" w:cs="Arial"/>
          <w:i/>
          <w:iCs/>
          <w:sz w:val="22"/>
          <w:szCs w:val="22"/>
        </w:rPr>
      </w:pPr>
      <w:r>
        <w:rPr>
          <w:rFonts w:ascii="Arial" w:hAnsi="Arial" w:cs="Arial"/>
          <w:i/>
          <w:iCs/>
          <w:sz w:val="22"/>
          <w:szCs w:val="22"/>
        </w:rPr>
        <w:t>I</w:t>
      </w:r>
      <w:r w:rsidRPr="003F2BE5">
        <w:rPr>
          <w:rFonts w:ascii="Arial" w:hAnsi="Arial" w:cs="Arial"/>
          <w:i/>
          <w:iCs/>
          <w:sz w:val="22"/>
          <w:szCs w:val="22"/>
        </w:rPr>
        <w:t xml:space="preserve">II. </w:t>
      </w:r>
      <w:r w:rsidRPr="003F2BE5">
        <w:rPr>
          <w:rFonts w:ascii="Arial" w:hAnsi="Arial" w:cs="Arial"/>
          <w:i/>
          <w:iCs/>
          <w:sz w:val="22"/>
          <w:szCs w:val="22"/>
          <w:u w:val="single"/>
        </w:rPr>
        <w:t xml:space="preserve">La limitación se adecúa al principio de proporcionalidad </w:t>
      </w:r>
      <w:r>
        <w:rPr>
          <w:rFonts w:ascii="Arial" w:hAnsi="Arial" w:cs="Arial"/>
          <w:i/>
          <w:iCs/>
          <w:sz w:val="22"/>
          <w:szCs w:val="22"/>
          <w:u w:val="single"/>
        </w:rPr>
        <w:t>y</w:t>
      </w:r>
      <w:r w:rsidRPr="003F2BE5">
        <w:rPr>
          <w:rFonts w:ascii="Arial" w:hAnsi="Arial" w:cs="Arial"/>
          <w:i/>
          <w:iCs/>
          <w:sz w:val="22"/>
          <w:szCs w:val="22"/>
          <w:u w:val="single"/>
        </w:rPr>
        <w:t xml:space="preserve"> representa el medio menos restrictivo disponible para evitar el perjuicio.</w:t>
      </w:r>
      <w:r w:rsidRPr="003F2BE5">
        <w:rPr>
          <w:rFonts w:ascii="Arial" w:hAnsi="Arial" w:cs="Arial"/>
          <w:i/>
          <w:iCs/>
          <w:sz w:val="22"/>
          <w:szCs w:val="22"/>
        </w:rPr>
        <w:t xml:space="preserve"> La reserva temporal de la información</w:t>
      </w:r>
      <w:r>
        <w:rPr>
          <w:rFonts w:ascii="Arial" w:hAnsi="Arial" w:cs="Arial"/>
          <w:i/>
          <w:iCs/>
          <w:sz w:val="22"/>
          <w:szCs w:val="22"/>
        </w:rPr>
        <w:t xml:space="preserve"> </w:t>
      </w:r>
      <w:r w:rsidRPr="003F2BE5">
        <w:rPr>
          <w:rFonts w:ascii="Arial" w:hAnsi="Arial" w:cs="Arial"/>
          <w:i/>
          <w:iCs/>
          <w:sz w:val="22"/>
          <w:szCs w:val="22"/>
        </w:rPr>
        <w:t>solicitada por el particular, no sólo se permite salvaguardar las funciones que realiza la</w:t>
      </w:r>
      <w:r>
        <w:rPr>
          <w:rFonts w:ascii="Arial" w:hAnsi="Arial" w:cs="Arial"/>
          <w:i/>
          <w:iCs/>
          <w:sz w:val="22"/>
          <w:szCs w:val="22"/>
        </w:rPr>
        <w:t xml:space="preserve"> </w:t>
      </w:r>
      <w:r w:rsidRPr="003F2BE5">
        <w:rPr>
          <w:rFonts w:ascii="Arial" w:hAnsi="Arial" w:cs="Arial"/>
          <w:i/>
          <w:iCs/>
          <w:sz w:val="22"/>
          <w:szCs w:val="22"/>
        </w:rPr>
        <w:t xml:space="preserve">Contraloría General de este Órgano Garante, en relación con el análisis de la resolución materia de la solicitud, sino que también se protege la conducción del debido proceso, </w:t>
      </w:r>
      <w:r w:rsidRPr="003F2BE5">
        <w:rPr>
          <w:rFonts w:ascii="Arial" w:hAnsi="Arial" w:cs="Arial"/>
          <w:b/>
          <w:bCs/>
          <w:i/>
          <w:iCs/>
          <w:sz w:val="22"/>
          <w:szCs w:val="22"/>
        </w:rPr>
        <w:t>la salvaguarda de la imagen de la persona involucrada y la protección del principio de presunción de inocencia</w:t>
      </w:r>
      <w:r w:rsidRPr="003F2BE5">
        <w:rPr>
          <w:rFonts w:ascii="Arial" w:hAnsi="Arial" w:cs="Arial"/>
          <w:i/>
          <w:iCs/>
          <w:sz w:val="22"/>
          <w:szCs w:val="22"/>
        </w:rPr>
        <w:t xml:space="preserve">. </w:t>
      </w:r>
    </w:p>
    <w:p w14:paraId="5861C429" w14:textId="77777777" w:rsidR="003F2BE5" w:rsidRDefault="003F2BE5" w:rsidP="00007541">
      <w:pPr>
        <w:pStyle w:val="Sinespaciado"/>
        <w:ind w:left="567" w:right="616"/>
        <w:jc w:val="both"/>
        <w:rPr>
          <w:rFonts w:ascii="Arial" w:hAnsi="Arial" w:cs="Arial"/>
          <w:i/>
          <w:iCs/>
          <w:sz w:val="22"/>
          <w:szCs w:val="22"/>
        </w:rPr>
      </w:pPr>
    </w:p>
    <w:p w14:paraId="00848002" w14:textId="0F86BA83" w:rsidR="003F2BE5" w:rsidRPr="003F2BE5" w:rsidRDefault="003F2BE5" w:rsidP="00007541">
      <w:pPr>
        <w:pStyle w:val="Sinespaciado"/>
        <w:ind w:left="567" w:right="616"/>
        <w:jc w:val="both"/>
        <w:rPr>
          <w:rFonts w:ascii="Arial" w:hAnsi="Arial" w:cs="Arial"/>
          <w:i/>
          <w:iCs/>
          <w:sz w:val="22"/>
          <w:szCs w:val="22"/>
        </w:rPr>
      </w:pPr>
      <w:r w:rsidRPr="003F2BE5">
        <w:rPr>
          <w:rFonts w:ascii="Arial" w:hAnsi="Arial" w:cs="Arial"/>
          <w:i/>
          <w:iCs/>
          <w:sz w:val="22"/>
          <w:szCs w:val="22"/>
        </w:rPr>
        <w:t xml:space="preserve">En tal sentido, dicha restricción es la idónea, en virtud de que constituye la única medida posible para proteger temporalmente el procedimiento referido, y con ello, el interés público, por lo que, en el caso concreto, debe prevalecer la protección del interés público; lo cual tiene sustento en la legislación en materia de transparencia y acceso a la información. </w:t>
      </w:r>
    </w:p>
    <w:p w14:paraId="2F8C341A" w14:textId="77777777" w:rsidR="003F2BE5" w:rsidRDefault="003F2BE5" w:rsidP="00007541">
      <w:pPr>
        <w:pStyle w:val="Sinespaciado"/>
        <w:ind w:left="567" w:right="616"/>
        <w:jc w:val="both"/>
        <w:rPr>
          <w:rFonts w:ascii="Arial" w:hAnsi="Arial" w:cs="Arial"/>
          <w:i/>
          <w:iCs/>
          <w:sz w:val="22"/>
          <w:szCs w:val="22"/>
        </w:rPr>
      </w:pPr>
    </w:p>
    <w:p w14:paraId="1C8EB6B7" w14:textId="68FF3EB7" w:rsidR="003F2BE5" w:rsidRPr="003F2BE5" w:rsidRDefault="003F2BE5" w:rsidP="00007541">
      <w:pPr>
        <w:pStyle w:val="Sinespaciado"/>
        <w:ind w:left="567" w:right="616"/>
        <w:jc w:val="both"/>
        <w:rPr>
          <w:rFonts w:ascii="Arial" w:hAnsi="Arial" w:cs="Arial"/>
          <w:i/>
          <w:iCs/>
          <w:sz w:val="22"/>
          <w:szCs w:val="22"/>
        </w:rPr>
      </w:pPr>
      <w:r w:rsidRPr="003F2BE5">
        <w:rPr>
          <w:rFonts w:ascii="Arial" w:hAnsi="Arial" w:cs="Arial"/>
          <w:i/>
          <w:iCs/>
          <w:sz w:val="22"/>
          <w:szCs w:val="22"/>
        </w:rPr>
        <w:t>Aunado a que la clasificación de la información no es absoluta y total, ya que</w:t>
      </w:r>
      <w:r>
        <w:rPr>
          <w:rFonts w:ascii="Arial" w:hAnsi="Arial" w:cs="Arial"/>
          <w:i/>
          <w:iCs/>
          <w:sz w:val="22"/>
          <w:szCs w:val="22"/>
        </w:rPr>
        <w:t xml:space="preserve"> </w:t>
      </w:r>
      <w:r w:rsidRPr="003F2BE5">
        <w:rPr>
          <w:rFonts w:ascii="Arial" w:hAnsi="Arial" w:cs="Arial"/>
          <w:i/>
          <w:iCs/>
          <w:sz w:val="22"/>
          <w:szCs w:val="22"/>
        </w:rPr>
        <w:t xml:space="preserve">únicamente prevalecerá por un </w:t>
      </w:r>
      <w:r w:rsidRPr="003F2BE5">
        <w:rPr>
          <w:rFonts w:ascii="Arial" w:hAnsi="Arial" w:cs="Arial"/>
          <w:b/>
          <w:bCs/>
          <w:i/>
          <w:iCs/>
          <w:sz w:val="22"/>
          <w:szCs w:val="22"/>
        </w:rPr>
        <w:t>plazo de cinco años</w:t>
      </w:r>
      <w:r w:rsidRPr="003F2BE5">
        <w:rPr>
          <w:rFonts w:ascii="Arial" w:hAnsi="Arial" w:cs="Arial"/>
          <w:i/>
          <w:iCs/>
          <w:sz w:val="22"/>
          <w:szCs w:val="22"/>
        </w:rPr>
        <w:t>, en tanto no se impugne la</w:t>
      </w:r>
      <w:r>
        <w:rPr>
          <w:rFonts w:ascii="Arial" w:hAnsi="Arial" w:cs="Arial"/>
          <w:i/>
          <w:iCs/>
          <w:sz w:val="22"/>
          <w:szCs w:val="22"/>
        </w:rPr>
        <w:t xml:space="preserve"> </w:t>
      </w:r>
      <w:r w:rsidRPr="003F2BE5">
        <w:rPr>
          <w:rFonts w:ascii="Arial" w:hAnsi="Arial" w:cs="Arial"/>
          <w:i/>
          <w:iCs/>
          <w:sz w:val="22"/>
          <w:szCs w:val="22"/>
        </w:rPr>
        <w:t xml:space="preserve">resolución emitida en el expediente o bien la misma cause estado y adquiera la firmeza necesaria para ser proporcionada. </w:t>
      </w:r>
    </w:p>
    <w:p w14:paraId="16D07184" w14:textId="77777777" w:rsidR="003F2BE5" w:rsidRDefault="003F2BE5" w:rsidP="00007541">
      <w:pPr>
        <w:pStyle w:val="Sinespaciado"/>
        <w:ind w:left="567" w:right="616"/>
        <w:jc w:val="both"/>
        <w:rPr>
          <w:rFonts w:ascii="Arial" w:hAnsi="Arial" w:cs="Arial"/>
          <w:i/>
          <w:iCs/>
          <w:sz w:val="22"/>
          <w:szCs w:val="22"/>
        </w:rPr>
      </w:pPr>
    </w:p>
    <w:p w14:paraId="434C5E7E" w14:textId="6B4B235B" w:rsidR="003F2BE5" w:rsidRPr="00A82C1A" w:rsidRDefault="003F2BE5" w:rsidP="00007541">
      <w:pPr>
        <w:pStyle w:val="Sinespaciado"/>
        <w:ind w:left="567" w:right="616"/>
        <w:jc w:val="both"/>
        <w:rPr>
          <w:rFonts w:ascii="Arial" w:hAnsi="Arial" w:cs="Arial"/>
          <w:i/>
          <w:iCs/>
          <w:sz w:val="22"/>
          <w:szCs w:val="22"/>
        </w:rPr>
      </w:pPr>
      <w:r w:rsidRPr="003F2BE5">
        <w:rPr>
          <w:rFonts w:ascii="Arial" w:hAnsi="Arial" w:cs="Arial"/>
          <w:i/>
          <w:iCs/>
          <w:sz w:val="22"/>
          <w:szCs w:val="22"/>
        </w:rPr>
        <w:t>Lo anterior, con el objeto de que se someta</w:t>
      </w:r>
      <w:r>
        <w:rPr>
          <w:rFonts w:ascii="Arial" w:hAnsi="Arial" w:cs="Arial"/>
          <w:i/>
          <w:iCs/>
          <w:sz w:val="22"/>
          <w:szCs w:val="22"/>
        </w:rPr>
        <w:t xml:space="preserve"> </w:t>
      </w:r>
      <w:r w:rsidRPr="003F2BE5">
        <w:rPr>
          <w:rFonts w:ascii="Arial" w:hAnsi="Arial" w:cs="Arial"/>
          <w:i/>
          <w:iCs/>
          <w:sz w:val="22"/>
          <w:szCs w:val="22"/>
        </w:rPr>
        <w:t>a valoración del Comité de Transparencia de este Órgano Garante, a efecto de que confirme la clasificación de información como reservada de los tres expedientes señalados.</w:t>
      </w:r>
    </w:p>
    <w:p w14:paraId="7053F693" w14:textId="77777777" w:rsidR="00C221F2" w:rsidRPr="00C221F2" w:rsidRDefault="00C221F2" w:rsidP="00007541">
      <w:pPr>
        <w:pStyle w:val="Sinespaciado"/>
        <w:ind w:left="567" w:right="616"/>
        <w:jc w:val="both"/>
        <w:rPr>
          <w:rFonts w:ascii="Arial" w:hAnsi="Arial" w:cs="Arial"/>
          <w:i/>
          <w:iCs/>
          <w:sz w:val="20"/>
          <w:szCs w:val="20"/>
        </w:rPr>
      </w:pPr>
    </w:p>
    <w:p w14:paraId="11612598" w14:textId="3631C9C8" w:rsidR="000C5A40" w:rsidRPr="00C221F2" w:rsidRDefault="00C221F2" w:rsidP="00007541">
      <w:pPr>
        <w:pStyle w:val="Sinespaciado"/>
        <w:ind w:left="567" w:right="616"/>
        <w:jc w:val="both"/>
        <w:rPr>
          <w:rFonts w:ascii="Arial" w:hAnsi="Arial" w:cs="Arial"/>
          <w:i/>
          <w:iCs/>
          <w:sz w:val="20"/>
          <w:szCs w:val="20"/>
        </w:rPr>
      </w:pPr>
      <w:r>
        <w:rPr>
          <w:rFonts w:ascii="Arial" w:hAnsi="Arial" w:cs="Arial"/>
          <w:i/>
          <w:iCs/>
          <w:sz w:val="20"/>
          <w:szCs w:val="20"/>
        </w:rPr>
        <w:t>..</w:t>
      </w:r>
      <w:r w:rsidR="008C0E0F" w:rsidRPr="00C221F2">
        <w:rPr>
          <w:rFonts w:ascii="Arial" w:hAnsi="Arial" w:cs="Arial"/>
          <w:i/>
          <w:iCs/>
          <w:sz w:val="20"/>
          <w:szCs w:val="20"/>
        </w:rPr>
        <w:t>.</w:t>
      </w:r>
      <w:r w:rsidR="009B5CA2" w:rsidRPr="00C221F2">
        <w:rPr>
          <w:rFonts w:ascii="Arial" w:hAnsi="Arial" w:cs="Arial"/>
          <w:sz w:val="20"/>
          <w:szCs w:val="20"/>
        </w:rPr>
        <w:t>”</w:t>
      </w:r>
      <w:r w:rsidR="009B5CA2" w:rsidRPr="00C221F2">
        <w:rPr>
          <w:rFonts w:ascii="Arial" w:hAnsi="Arial" w:cs="Arial"/>
          <w:i/>
          <w:iCs/>
          <w:sz w:val="20"/>
          <w:szCs w:val="20"/>
        </w:rPr>
        <w:t xml:space="preserve"> </w:t>
      </w:r>
      <w:r w:rsidR="00CF2E91" w:rsidRPr="00C221F2">
        <w:rPr>
          <w:rFonts w:ascii="Arial" w:hAnsi="Arial" w:cs="Arial"/>
          <w:sz w:val="20"/>
          <w:szCs w:val="20"/>
        </w:rPr>
        <w:t>(</w:t>
      </w:r>
      <w:r w:rsidR="009B5CA2" w:rsidRPr="00C221F2">
        <w:rPr>
          <w:rFonts w:ascii="Arial" w:hAnsi="Arial" w:cs="Arial"/>
          <w:sz w:val="20"/>
          <w:szCs w:val="20"/>
        </w:rPr>
        <w:t>S</w:t>
      </w:r>
      <w:r w:rsidR="00CF2E91" w:rsidRPr="00C221F2">
        <w:rPr>
          <w:rFonts w:ascii="Arial" w:hAnsi="Arial" w:cs="Arial"/>
          <w:sz w:val="20"/>
          <w:szCs w:val="20"/>
        </w:rPr>
        <w:t>ic)</w:t>
      </w:r>
      <w:r w:rsidR="000C5A40" w:rsidRPr="00C221F2">
        <w:rPr>
          <w:rFonts w:ascii="Arial" w:eastAsia="MS Mincho" w:hAnsi="Arial" w:cs="Arial"/>
          <w:i/>
          <w:iCs/>
          <w:sz w:val="20"/>
          <w:szCs w:val="20"/>
          <w:lang w:val="es-ES_tradnl"/>
        </w:rPr>
        <w:t xml:space="preserve"> </w:t>
      </w:r>
    </w:p>
    <w:bookmarkEnd w:id="1"/>
    <w:p w14:paraId="10BD3F16" w14:textId="57767206" w:rsidR="00B9784F" w:rsidRDefault="00B9784F" w:rsidP="00007541">
      <w:pPr>
        <w:autoSpaceDE w:val="0"/>
        <w:autoSpaceDN w:val="0"/>
        <w:adjustRightInd w:val="0"/>
        <w:spacing w:line="360" w:lineRule="auto"/>
        <w:ind w:left="567"/>
        <w:mirrorIndents/>
        <w:jc w:val="both"/>
        <w:rPr>
          <w:rFonts w:ascii="Arial" w:eastAsia="Times New Roman" w:hAnsi="Arial" w:cs="Arial"/>
          <w:b/>
          <w:bCs/>
          <w:lang w:val="es-ES_tradnl"/>
        </w:rPr>
      </w:pPr>
    </w:p>
    <w:p w14:paraId="23BD8B9C" w14:textId="660ED1A7" w:rsidR="003201F8" w:rsidRDefault="000C5A40" w:rsidP="00007541">
      <w:pPr>
        <w:autoSpaceDE w:val="0"/>
        <w:autoSpaceDN w:val="0"/>
        <w:adjustRightInd w:val="0"/>
        <w:spacing w:line="360" w:lineRule="auto"/>
        <w:mirrorIndents/>
        <w:jc w:val="both"/>
        <w:rPr>
          <w:rFonts w:ascii="Arial" w:eastAsia="Times New Roman" w:hAnsi="Arial" w:cs="Arial"/>
          <w:lang w:val="es-ES_tradnl"/>
        </w:rPr>
      </w:pPr>
      <w:r w:rsidRPr="009B5CA2">
        <w:rPr>
          <w:rFonts w:ascii="Arial" w:eastAsia="Times New Roman" w:hAnsi="Arial" w:cs="Arial"/>
          <w:b/>
          <w:bCs/>
          <w:lang w:val="es-ES_tradnl"/>
        </w:rPr>
        <w:t>QUINTO</w:t>
      </w:r>
      <w:r w:rsidR="00B9784F" w:rsidRPr="009B5CA2">
        <w:rPr>
          <w:rFonts w:ascii="Arial" w:eastAsia="Times New Roman" w:hAnsi="Arial" w:cs="Arial"/>
          <w:b/>
          <w:bCs/>
          <w:lang w:val="es-ES_tradnl"/>
        </w:rPr>
        <w:t>.</w:t>
      </w:r>
      <w:r w:rsidR="00B9784F" w:rsidRPr="009B5CA2">
        <w:rPr>
          <w:rFonts w:ascii="Arial" w:eastAsia="Times New Roman" w:hAnsi="Arial" w:cs="Arial"/>
          <w:lang w:val="es-ES_tradnl"/>
        </w:rPr>
        <w:t xml:space="preserve"> </w:t>
      </w:r>
      <w:r w:rsidRPr="009B5CA2">
        <w:rPr>
          <w:rFonts w:ascii="Arial" w:eastAsia="Times New Roman" w:hAnsi="Arial" w:cs="Arial"/>
          <w:lang w:val="es-ES_tradnl"/>
        </w:rPr>
        <w:t xml:space="preserve">El Comité de Transparencia del Órgano Garante de Acceso a la Información Pública, Transparencia, Protección de Datos Personales y Buen Gobierno del Estado de Oaxaca, previo análisis </w:t>
      </w:r>
      <w:r w:rsidR="009B5CA2" w:rsidRPr="009B5CA2">
        <w:rPr>
          <w:rFonts w:ascii="Arial" w:eastAsia="Times New Roman" w:hAnsi="Arial" w:cs="Arial"/>
          <w:lang w:val="es-ES_tradnl"/>
        </w:rPr>
        <w:t xml:space="preserve">de </w:t>
      </w:r>
      <w:r w:rsidRPr="009B5CA2">
        <w:rPr>
          <w:rFonts w:ascii="Arial" w:eastAsia="Times New Roman" w:hAnsi="Arial" w:cs="Arial"/>
          <w:lang w:val="es-ES_tradnl"/>
        </w:rPr>
        <w:t xml:space="preserve">la solicitud </w:t>
      </w:r>
      <w:r w:rsidR="009B5CA2" w:rsidRPr="009B5CA2">
        <w:rPr>
          <w:rFonts w:ascii="Arial" w:eastAsia="Times New Roman" w:hAnsi="Arial" w:cs="Arial"/>
          <w:lang w:val="es-ES_tradnl"/>
        </w:rPr>
        <w:t xml:space="preserve">para que se confirme la </w:t>
      </w:r>
      <w:r w:rsidRPr="009B5CA2">
        <w:rPr>
          <w:rFonts w:ascii="Arial" w:eastAsia="Times New Roman" w:hAnsi="Arial" w:cs="Arial"/>
          <w:lang w:val="es-ES_tradnl"/>
        </w:rPr>
        <w:t xml:space="preserve">declaratoria de </w:t>
      </w:r>
      <w:r w:rsidR="003201F8">
        <w:rPr>
          <w:rFonts w:ascii="Arial" w:eastAsia="Times New Roman" w:hAnsi="Arial" w:cs="Arial"/>
          <w:lang w:val="es-ES_tradnl"/>
        </w:rPr>
        <w:t>clasificación</w:t>
      </w:r>
      <w:r w:rsidRPr="009B5CA2">
        <w:rPr>
          <w:rFonts w:ascii="Arial" w:eastAsia="Times New Roman" w:hAnsi="Arial" w:cs="Arial"/>
          <w:lang w:val="es-ES_tradnl"/>
        </w:rPr>
        <w:t xml:space="preserve"> </w:t>
      </w:r>
      <w:r w:rsidR="009B5CA2" w:rsidRPr="009B5CA2">
        <w:rPr>
          <w:rFonts w:ascii="Arial" w:eastAsia="Times New Roman" w:hAnsi="Arial" w:cs="Arial"/>
          <w:lang w:val="es-ES_tradnl"/>
        </w:rPr>
        <w:t>de la información</w:t>
      </w:r>
      <w:r w:rsidR="003201F8">
        <w:rPr>
          <w:rFonts w:ascii="Arial" w:eastAsia="Times New Roman" w:hAnsi="Arial" w:cs="Arial"/>
          <w:lang w:val="es-ES_tradnl"/>
        </w:rPr>
        <w:t xml:space="preserve"> como reservada</w:t>
      </w:r>
      <w:r w:rsidR="009B5CA2" w:rsidRPr="009B5CA2">
        <w:rPr>
          <w:rFonts w:ascii="Arial" w:eastAsia="Times New Roman" w:hAnsi="Arial" w:cs="Arial"/>
          <w:lang w:val="es-ES_tradnl"/>
        </w:rPr>
        <w:t xml:space="preserve">, así como </w:t>
      </w:r>
      <w:r w:rsidR="003201F8">
        <w:rPr>
          <w:rFonts w:ascii="Arial" w:eastAsia="Times New Roman" w:hAnsi="Arial" w:cs="Arial"/>
          <w:lang w:val="es-ES_tradnl"/>
        </w:rPr>
        <w:t>de la prueba de daño emitida</w:t>
      </w:r>
      <w:r w:rsidRPr="009B5CA2">
        <w:rPr>
          <w:rFonts w:ascii="Arial" w:eastAsia="Times New Roman" w:hAnsi="Arial" w:cs="Arial"/>
          <w:lang w:val="es-ES_tradnl"/>
        </w:rPr>
        <w:t xml:space="preserve"> por la </w:t>
      </w:r>
      <w:r w:rsidR="003F2BE5">
        <w:rPr>
          <w:rFonts w:ascii="Arial" w:hAnsi="Arial" w:cs="Arial"/>
          <w:bCs/>
        </w:rPr>
        <w:t>Contraloría General</w:t>
      </w:r>
      <w:r w:rsidRPr="009B5CA2">
        <w:rPr>
          <w:rFonts w:ascii="Arial" w:eastAsia="Times New Roman" w:hAnsi="Arial" w:cs="Arial"/>
          <w:lang w:val="es-ES_tradnl"/>
        </w:rPr>
        <w:t xml:space="preserve"> del Órgano Garante de Acceso </w:t>
      </w:r>
      <w:r w:rsidRPr="009B5CA2">
        <w:rPr>
          <w:rFonts w:ascii="Arial" w:eastAsia="Times New Roman" w:hAnsi="Arial" w:cs="Arial"/>
          <w:lang w:val="es-ES_tradnl"/>
        </w:rPr>
        <w:lastRenderedPageBreak/>
        <w:t>a la Información Pública, Transparencia, Protección de Datos Personales y Buen Gobierno del Estado de Oaxaca</w:t>
      </w:r>
      <w:r w:rsidR="003201F8">
        <w:rPr>
          <w:rFonts w:ascii="Arial" w:eastAsia="Times New Roman" w:hAnsi="Arial" w:cs="Arial"/>
          <w:lang w:val="es-ES_tradnl"/>
        </w:rPr>
        <w:t>, que se anexa</w:t>
      </w:r>
      <w:r w:rsidR="009B5CA2" w:rsidRPr="009B5CA2">
        <w:rPr>
          <w:rFonts w:ascii="Arial" w:eastAsia="Times New Roman" w:hAnsi="Arial" w:cs="Arial"/>
          <w:lang w:val="es-ES_tradnl"/>
        </w:rPr>
        <w:t>;</w:t>
      </w:r>
      <w:r w:rsidRPr="009B5CA2">
        <w:rPr>
          <w:rFonts w:ascii="Arial" w:eastAsia="Times New Roman" w:hAnsi="Arial" w:cs="Arial"/>
          <w:lang w:val="es-ES_tradnl"/>
        </w:rPr>
        <w:t xml:space="preserve"> y con fundamento en </w:t>
      </w:r>
      <w:r w:rsidR="003201F8">
        <w:rPr>
          <w:rFonts w:ascii="Arial" w:eastAsia="Times New Roman" w:hAnsi="Arial" w:cs="Arial"/>
          <w:lang w:val="es-ES_tradnl"/>
        </w:rPr>
        <w:t>los</w:t>
      </w:r>
      <w:r w:rsidRPr="009B5CA2">
        <w:rPr>
          <w:rFonts w:ascii="Arial" w:eastAsia="Times New Roman" w:hAnsi="Arial" w:cs="Arial"/>
          <w:lang w:val="es-ES_tradnl"/>
        </w:rPr>
        <w:t xml:space="preserve"> artículo</w:t>
      </w:r>
      <w:r w:rsidR="003201F8">
        <w:rPr>
          <w:rFonts w:ascii="Arial" w:eastAsia="Times New Roman" w:hAnsi="Arial" w:cs="Arial"/>
          <w:lang w:val="es-ES_tradnl"/>
        </w:rPr>
        <w:t>s</w:t>
      </w:r>
      <w:r w:rsidRPr="009B5CA2">
        <w:rPr>
          <w:rFonts w:ascii="Arial" w:eastAsia="Times New Roman" w:hAnsi="Arial" w:cs="Arial"/>
          <w:lang w:val="es-ES_tradnl"/>
        </w:rPr>
        <w:t xml:space="preserve"> </w:t>
      </w:r>
      <w:r w:rsidR="003201F8" w:rsidRPr="003201F8">
        <w:rPr>
          <w:rFonts w:ascii="Arial" w:eastAsia="Times New Roman" w:hAnsi="Arial" w:cs="Arial"/>
        </w:rPr>
        <w:t xml:space="preserve">6º, cuarto párrafo, apartado A, fracción I de la Constitución Política de los Estados Unidos Mexicanos; </w:t>
      </w:r>
      <w:r w:rsidR="003F2BE5">
        <w:rPr>
          <w:rFonts w:ascii="Arial" w:eastAsia="Times New Roman" w:hAnsi="Arial" w:cs="Arial"/>
        </w:rPr>
        <w:t>102</w:t>
      </w:r>
      <w:r w:rsidR="003201F8" w:rsidRPr="003201F8">
        <w:rPr>
          <w:rFonts w:ascii="Arial" w:eastAsia="Times New Roman" w:hAnsi="Arial" w:cs="Arial"/>
        </w:rPr>
        <w:t xml:space="preserve">, </w:t>
      </w:r>
      <w:r w:rsidR="003F2BE5">
        <w:rPr>
          <w:rFonts w:ascii="Arial" w:eastAsia="Times New Roman" w:hAnsi="Arial" w:cs="Arial"/>
        </w:rPr>
        <w:t>103 fracción I, 106</w:t>
      </w:r>
      <w:r w:rsidR="003201F8" w:rsidRPr="003201F8">
        <w:rPr>
          <w:rFonts w:ascii="Arial" w:eastAsia="Times New Roman" w:hAnsi="Arial" w:cs="Arial"/>
        </w:rPr>
        <w:t xml:space="preserve">, </w:t>
      </w:r>
      <w:r w:rsidR="003F2BE5">
        <w:rPr>
          <w:rFonts w:ascii="Arial" w:eastAsia="Times New Roman" w:hAnsi="Arial" w:cs="Arial"/>
        </w:rPr>
        <w:t>107</w:t>
      </w:r>
      <w:r w:rsidR="003201F8" w:rsidRPr="003201F8">
        <w:rPr>
          <w:rFonts w:ascii="Arial" w:eastAsia="Times New Roman" w:hAnsi="Arial" w:cs="Arial"/>
        </w:rPr>
        <w:t>, 10</w:t>
      </w:r>
      <w:r w:rsidR="003F2BE5">
        <w:rPr>
          <w:rFonts w:ascii="Arial" w:eastAsia="Times New Roman" w:hAnsi="Arial" w:cs="Arial"/>
        </w:rPr>
        <w:t>8</w:t>
      </w:r>
      <w:r w:rsidR="003201F8" w:rsidRPr="003201F8">
        <w:rPr>
          <w:rFonts w:ascii="Arial" w:eastAsia="Times New Roman" w:hAnsi="Arial" w:cs="Arial"/>
        </w:rPr>
        <w:t xml:space="preserve">, </w:t>
      </w:r>
      <w:r w:rsidR="00977F94">
        <w:rPr>
          <w:rFonts w:ascii="Arial" w:eastAsia="Times New Roman" w:hAnsi="Arial" w:cs="Arial"/>
        </w:rPr>
        <w:t xml:space="preserve">110 </w:t>
      </w:r>
      <w:r w:rsidR="003201F8" w:rsidRPr="003201F8">
        <w:rPr>
          <w:rFonts w:ascii="Arial" w:eastAsia="Times New Roman" w:hAnsi="Arial" w:cs="Arial"/>
        </w:rPr>
        <w:t xml:space="preserve">y </w:t>
      </w:r>
      <w:r w:rsidR="00977F94">
        <w:rPr>
          <w:rFonts w:ascii="Arial" w:eastAsia="Times New Roman" w:hAnsi="Arial" w:cs="Arial"/>
        </w:rPr>
        <w:t>139</w:t>
      </w:r>
      <w:r w:rsidR="003201F8" w:rsidRPr="003201F8">
        <w:rPr>
          <w:rFonts w:ascii="Arial" w:eastAsia="Times New Roman" w:hAnsi="Arial" w:cs="Arial"/>
        </w:rPr>
        <w:t xml:space="preserve"> de la Ley General de Transparencia y Acceso a la Información Pública; y en relación con los numerales 54 fracción </w:t>
      </w:r>
      <w:r w:rsidR="00977F94">
        <w:rPr>
          <w:rFonts w:ascii="Arial" w:eastAsia="Times New Roman" w:hAnsi="Arial" w:cs="Arial"/>
        </w:rPr>
        <w:t>XI, XII y XIII</w:t>
      </w:r>
      <w:r w:rsidR="003201F8" w:rsidRPr="003201F8">
        <w:rPr>
          <w:rFonts w:ascii="Arial" w:eastAsia="Times New Roman" w:hAnsi="Arial" w:cs="Arial"/>
        </w:rPr>
        <w:t xml:space="preserve"> y 55, de la Ley de Transparencia y Acceso a la Información Pública y Buen Gobierno del Estado de Oaxaca</w:t>
      </w:r>
      <w:r w:rsidRPr="009B5CA2">
        <w:rPr>
          <w:rFonts w:ascii="Arial" w:eastAsia="Times New Roman" w:hAnsi="Arial" w:cs="Arial"/>
          <w:lang w:val="es-ES_tradnl"/>
        </w:rPr>
        <w:t xml:space="preserve">, </w:t>
      </w:r>
      <w:r w:rsidR="003201F8">
        <w:rPr>
          <w:rFonts w:ascii="Arial" w:eastAsia="Times New Roman" w:hAnsi="Arial" w:cs="Arial"/>
          <w:lang w:val="es-ES_tradnl"/>
        </w:rPr>
        <w:t xml:space="preserve">determina lo siguiente: - - - - - - - - </w:t>
      </w:r>
    </w:p>
    <w:p w14:paraId="306729C8" w14:textId="476B3507" w:rsidR="003201F8" w:rsidRPr="00977F94" w:rsidRDefault="00C16715" w:rsidP="00007541">
      <w:pPr>
        <w:autoSpaceDE w:val="0"/>
        <w:autoSpaceDN w:val="0"/>
        <w:adjustRightInd w:val="0"/>
        <w:spacing w:line="360" w:lineRule="auto"/>
        <w:mirrorIndents/>
        <w:jc w:val="both"/>
        <w:rPr>
          <w:rFonts w:ascii="Arial" w:eastAsia="Times New Roman" w:hAnsi="Arial" w:cs="Arial"/>
          <w:i/>
          <w:iCs/>
        </w:rPr>
      </w:pPr>
      <w:r>
        <w:rPr>
          <w:rFonts w:ascii="Arial" w:eastAsia="Times New Roman" w:hAnsi="Arial" w:cs="Arial"/>
          <w:b/>
          <w:bCs/>
        </w:rPr>
        <w:t xml:space="preserve">SEXTO. </w:t>
      </w:r>
      <w:r w:rsidR="003201F8" w:rsidRPr="003201F8">
        <w:rPr>
          <w:rFonts w:ascii="Arial" w:eastAsia="Times New Roman" w:hAnsi="Arial" w:cs="Arial"/>
        </w:rPr>
        <w:t xml:space="preserve">Como quedó plasmado </w:t>
      </w:r>
      <w:r w:rsidR="003201F8">
        <w:rPr>
          <w:rFonts w:ascii="Arial" w:eastAsia="Times New Roman" w:hAnsi="Arial" w:cs="Arial"/>
        </w:rPr>
        <w:t xml:space="preserve">en el oficio remitido por la </w:t>
      </w:r>
      <w:r w:rsidR="00977F94">
        <w:rPr>
          <w:rFonts w:ascii="Arial" w:eastAsia="Times New Roman" w:hAnsi="Arial" w:cs="Arial"/>
        </w:rPr>
        <w:t>Contraloría General</w:t>
      </w:r>
      <w:r w:rsidR="003201F8">
        <w:rPr>
          <w:rFonts w:ascii="Arial" w:eastAsia="Times New Roman" w:hAnsi="Arial" w:cs="Arial"/>
        </w:rPr>
        <w:t xml:space="preserve"> mediante el cual solicitó la intervención de este Comité de Transparencia</w:t>
      </w:r>
      <w:r w:rsidR="003201F8" w:rsidRPr="003201F8">
        <w:rPr>
          <w:rFonts w:ascii="Arial" w:eastAsia="Times New Roman" w:hAnsi="Arial" w:cs="Arial"/>
        </w:rPr>
        <w:t xml:space="preserve">, </w:t>
      </w:r>
      <w:r w:rsidR="00977F94">
        <w:rPr>
          <w:rFonts w:ascii="Arial" w:eastAsia="Times New Roman" w:hAnsi="Arial" w:cs="Arial"/>
        </w:rPr>
        <w:t>e</w:t>
      </w:r>
      <w:r w:rsidR="00977F94" w:rsidRPr="00977F94">
        <w:rPr>
          <w:rFonts w:ascii="Arial" w:eastAsia="Times New Roman" w:hAnsi="Arial" w:cs="Arial"/>
        </w:rPr>
        <w:t>l objeto de</w:t>
      </w:r>
      <w:r w:rsidR="00977F94">
        <w:rPr>
          <w:rFonts w:ascii="Arial" w:eastAsia="Times New Roman" w:hAnsi="Arial" w:cs="Arial"/>
        </w:rPr>
        <w:t>l</w:t>
      </w:r>
      <w:r w:rsidR="00977F94" w:rsidRPr="00977F94">
        <w:rPr>
          <w:rFonts w:ascii="Arial" w:eastAsia="Times New Roman" w:hAnsi="Arial" w:cs="Arial"/>
        </w:rPr>
        <w:t xml:space="preserve"> presente </w:t>
      </w:r>
      <w:r w:rsidR="00977F94">
        <w:rPr>
          <w:rFonts w:ascii="Arial" w:eastAsia="Times New Roman" w:hAnsi="Arial" w:cs="Arial"/>
        </w:rPr>
        <w:t xml:space="preserve">acuerdo </w:t>
      </w:r>
      <w:r w:rsidR="00977F94" w:rsidRPr="00977F94">
        <w:rPr>
          <w:rFonts w:ascii="Arial" w:eastAsia="Times New Roman" w:hAnsi="Arial" w:cs="Arial"/>
        </w:rPr>
        <w:t xml:space="preserve">es analizar la clasificación, con el carácter de reservada, propuesta por </w:t>
      </w:r>
      <w:r w:rsidR="00977F94">
        <w:rPr>
          <w:rFonts w:ascii="Arial" w:eastAsia="Times New Roman" w:hAnsi="Arial" w:cs="Arial"/>
        </w:rPr>
        <w:t xml:space="preserve">dicha unidad administrativa </w:t>
      </w:r>
      <w:r w:rsidR="00977F94" w:rsidRPr="00977F94">
        <w:rPr>
          <w:rFonts w:ascii="Arial" w:eastAsia="Times New Roman" w:hAnsi="Arial" w:cs="Arial"/>
        </w:rPr>
        <w:t xml:space="preserve">respecto </w:t>
      </w:r>
      <w:r w:rsidR="00977F94">
        <w:rPr>
          <w:rFonts w:ascii="Arial" w:eastAsia="Times New Roman" w:hAnsi="Arial" w:cs="Arial"/>
        </w:rPr>
        <w:t xml:space="preserve">de </w:t>
      </w:r>
      <w:r w:rsidR="00977F94" w:rsidRPr="00977F94">
        <w:rPr>
          <w:rFonts w:ascii="Arial" w:eastAsia="Times New Roman" w:hAnsi="Arial" w:cs="Arial"/>
          <w:i/>
          <w:iCs/>
        </w:rPr>
        <w:t>los tres cuadernos de antecedentes</w:t>
      </w:r>
      <w:r w:rsidR="00977F94">
        <w:rPr>
          <w:rFonts w:ascii="Arial" w:eastAsia="Times New Roman" w:hAnsi="Arial" w:cs="Arial"/>
          <w:i/>
          <w:iCs/>
        </w:rPr>
        <w:t xml:space="preserve"> </w:t>
      </w:r>
      <w:r w:rsidR="00977F94" w:rsidRPr="00977F94">
        <w:rPr>
          <w:rFonts w:ascii="Arial" w:eastAsia="Times New Roman" w:hAnsi="Arial" w:cs="Arial"/>
          <w:i/>
          <w:iCs/>
        </w:rPr>
        <w:t xml:space="preserve">identificados con los números </w:t>
      </w:r>
      <w:r w:rsidR="00977F94" w:rsidRPr="00977F94">
        <w:rPr>
          <w:rFonts w:ascii="Arial" w:eastAsia="Times New Roman" w:hAnsi="Arial" w:cs="Arial"/>
          <w:b/>
          <w:bCs/>
          <w:i/>
          <w:iCs/>
        </w:rPr>
        <w:t>C.A./01/2023</w:t>
      </w:r>
      <w:r w:rsidR="00977F94" w:rsidRPr="00977F94">
        <w:rPr>
          <w:rFonts w:ascii="Arial" w:eastAsia="Times New Roman" w:hAnsi="Arial" w:cs="Arial"/>
          <w:i/>
          <w:iCs/>
        </w:rPr>
        <w:t xml:space="preserve">, </w:t>
      </w:r>
      <w:r w:rsidR="00977F94" w:rsidRPr="00977F94">
        <w:rPr>
          <w:rFonts w:ascii="Arial" w:eastAsia="Times New Roman" w:hAnsi="Arial" w:cs="Arial"/>
          <w:b/>
          <w:bCs/>
          <w:i/>
          <w:iCs/>
        </w:rPr>
        <w:t>C.A./02/2023</w:t>
      </w:r>
      <w:r w:rsidR="00977F94" w:rsidRPr="00977F94">
        <w:rPr>
          <w:rFonts w:ascii="Arial" w:eastAsia="Times New Roman" w:hAnsi="Arial" w:cs="Arial"/>
          <w:i/>
          <w:iCs/>
        </w:rPr>
        <w:t xml:space="preserve"> y </w:t>
      </w:r>
      <w:r w:rsidR="00977F94" w:rsidRPr="00977F94">
        <w:rPr>
          <w:rFonts w:ascii="Arial" w:eastAsia="Times New Roman" w:hAnsi="Arial" w:cs="Arial"/>
          <w:b/>
          <w:bCs/>
          <w:i/>
          <w:iCs/>
        </w:rPr>
        <w:t>C.A./01/2024</w:t>
      </w:r>
      <w:r w:rsidR="00977F94" w:rsidRPr="00977F94">
        <w:rPr>
          <w:rFonts w:ascii="Arial" w:eastAsia="Times New Roman" w:hAnsi="Arial" w:cs="Arial"/>
          <w:i/>
          <w:iCs/>
        </w:rPr>
        <w:t xml:space="preserve"> expedientes contentivos de las investigaciones de presunta responsabilidad administrativa, iniciados por la autoridad investigadora de la Contraloría General del Órgano Garante de Acceso a la Información Pública, Transparencia, Protección de Datos Personales y Buen Gobierno del Estado de Oaxaca</w:t>
      </w:r>
      <w:r w:rsidR="00977F94" w:rsidRPr="00977F94">
        <w:rPr>
          <w:rFonts w:ascii="Arial" w:eastAsia="Times New Roman" w:hAnsi="Arial" w:cs="Arial"/>
        </w:rPr>
        <w:t>, a través del cual se da respuesta a la solicitud de información 202728525000197</w:t>
      </w:r>
      <w:r w:rsidR="003201F8">
        <w:rPr>
          <w:rFonts w:ascii="Arial" w:eastAsia="Arial" w:hAnsi="Arial" w:cs="Arial"/>
        </w:rPr>
        <w:t xml:space="preserve">. - - - - - - - - - - - - - - - - - - </w:t>
      </w:r>
      <w:r>
        <w:rPr>
          <w:rFonts w:ascii="Arial" w:eastAsia="Arial" w:hAnsi="Arial" w:cs="Arial"/>
        </w:rPr>
        <w:t xml:space="preserve">- - - - - - - - - - - - - - - - - - - - - - - - - - - - </w:t>
      </w:r>
    </w:p>
    <w:p w14:paraId="7A6DC70A" w14:textId="7CAAB830" w:rsidR="003201F8" w:rsidRDefault="00EB03AB" w:rsidP="00007541">
      <w:pPr>
        <w:autoSpaceDE w:val="0"/>
        <w:autoSpaceDN w:val="0"/>
        <w:adjustRightInd w:val="0"/>
        <w:spacing w:line="360" w:lineRule="auto"/>
        <w:mirrorIndents/>
        <w:jc w:val="both"/>
        <w:rPr>
          <w:rFonts w:ascii="Arial" w:eastAsia="Arial" w:hAnsi="Arial" w:cs="Arial"/>
        </w:rPr>
      </w:pPr>
      <w:r>
        <w:rPr>
          <w:rFonts w:ascii="Arial" w:eastAsia="Times New Roman" w:hAnsi="Arial" w:cs="Arial"/>
        </w:rPr>
        <w:t xml:space="preserve">En ese sentido, de acuerdo con la prueba de daño remitida por la </w:t>
      </w:r>
      <w:r w:rsidR="00977F94">
        <w:rPr>
          <w:rFonts w:ascii="Arial" w:eastAsia="Times New Roman" w:hAnsi="Arial" w:cs="Arial"/>
        </w:rPr>
        <w:t>Contraloría General</w:t>
      </w:r>
      <w:r>
        <w:rPr>
          <w:rFonts w:ascii="Arial" w:eastAsia="Times New Roman" w:hAnsi="Arial" w:cs="Arial"/>
        </w:rPr>
        <w:t>, dicha unidad administrativa precisó</w:t>
      </w:r>
      <w:r w:rsidRPr="00EB03AB">
        <w:rPr>
          <w:rFonts w:ascii="Arial" w:eastAsia="Times New Roman" w:hAnsi="Arial" w:cs="Arial"/>
        </w:rPr>
        <w:t xml:space="preserve"> que </w:t>
      </w:r>
      <w:r>
        <w:rPr>
          <w:rFonts w:ascii="Arial" w:eastAsia="Times New Roman" w:hAnsi="Arial" w:cs="Arial"/>
        </w:rPr>
        <w:t xml:space="preserve">la información relativa a </w:t>
      </w:r>
      <w:r w:rsidRPr="00EB03AB">
        <w:rPr>
          <w:rFonts w:ascii="Arial" w:eastAsia="Times New Roman" w:hAnsi="Arial" w:cs="Arial"/>
        </w:rPr>
        <w:t>“</w:t>
      </w:r>
      <w:r w:rsidRPr="00EB03AB">
        <w:rPr>
          <w:rFonts w:ascii="Arial" w:eastAsia="Times New Roman" w:hAnsi="Arial" w:cs="Arial"/>
          <w:i/>
          <w:iCs/>
        </w:rPr>
        <w:t xml:space="preserve">… </w:t>
      </w:r>
      <w:r w:rsidR="00977F94" w:rsidRPr="00977F94">
        <w:rPr>
          <w:rFonts w:ascii="Arial" w:eastAsia="Times New Roman" w:hAnsi="Arial" w:cs="Arial"/>
          <w:i/>
          <w:iCs/>
        </w:rPr>
        <w:t>Copia íntegra de los expedientes de dichas quejas, denuncias o procedimientos, incluyendo: Actas de inicio. Resoluciones emitidas. Fundamentos legales de la concusión y archivo. Sanciones impuestas (en caso de existir)</w:t>
      </w:r>
      <w:r w:rsidR="00977F94">
        <w:rPr>
          <w:rFonts w:ascii="Arial" w:eastAsia="Times New Roman" w:hAnsi="Arial" w:cs="Arial"/>
          <w:i/>
          <w:iCs/>
        </w:rPr>
        <w:t xml:space="preserve"> </w:t>
      </w:r>
      <w:r w:rsidRPr="00EB03AB">
        <w:rPr>
          <w:rFonts w:ascii="Arial" w:eastAsia="Times New Roman" w:hAnsi="Arial" w:cs="Arial"/>
          <w:i/>
          <w:iCs/>
        </w:rPr>
        <w:t>…</w:t>
      </w:r>
      <w:r w:rsidRPr="00EB03AB">
        <w:rPr>
          <w:rFonts w:ascii="Arial" w:eastAsia="Times New Roman" w:hAnsi="Arial" w:cs="Arial"/>
        </w:rPr>
        <w:t>”; debe ser clasificad</w:t>
      </w:r>
      <w:r>
        <w:rPr>
          <w:rFonts w:ascii="Arial" w:eastAsia="Times New Roman" w:hAnsi="Arial" w:cs="Arial"/>
        </w:rPr>
        <w:t>a</w:t>
      </w:r>
      <w:r w:rsidRPr="00EB03AB">
        <w:rPr>
          <w:rFonts w:ascii="Arial" w:eastAsia="Times New Roman" w:hAnsi="Arial" w:cs="Arial"/>
        </w:rPr>
        <w:t xml:space="preserve"> como reservad</w:t>
      </w:r>
      <w:r w:rsidR="00020D25">
        <w:rPr>
          <w:rFonts w:ascii="Arial" w:eastAsia="Times New Roman" w:hAnsi="Arial" w:cs="Arial"/>
        </w:rPr>
        <w:t>a</w:t>
      </w:r>
      <w:r w:rsidRPr="00EB03AB">
        <w:rPr>
          <w:rFonts w:ascii="Arial" w:eastAsia="Times New Roman" w:hAnsi="Arial" w:cs="Arial"/>
        </w:rPr>
        <w:t xml:space="preserve">, en términos del artículo </w:t>
      </w:r>
      <w:r>
        <w:rPr>
          <w:rFonts w:ascii="Arial" w:eastAsia="Times New Roman" w:hAnsi="Arial" w:cs="Arial"/>
        </w:rPr>
        <w:t>54</w:t>
      </w:r>
      <w:r w:rsidRPr="00EB03AB">
        <w:rPr>
          <w:rFonts w:ascii="Arial" w:eastAsia="Times New Roman" w:hAnsi="Arial" w:cs="Arial"/>
        </w:rPr>
        <w:t xml:space="preserve"> fracci</w:t>
      </w:r>
      <w:r w:rsidR="00977F94">
        <w:rPr>
          <w:rFonts w:ascii="Arial" w:eastAsia="Times New Roman" w:hAnsi="Arial" w:cs="Arial"/>
        </w:rPr>
        <w:t>ones</w:t>
      </w:r>
      <w:r w:rsidRPr="00EB03AB">
        <w:rPr>
          <w:rFonts w:ascii="Arial" w:eastAsia="Times New Roman" w:hAnsi="Arial" w:cs="Arial"/>
        </w:rPr>
        <w:t xml:space="preserve"> </w:t>
      </w:r>
      <w:r w:rsidR="00977F94">
        <w:rPr>
          <w:rFonts w:ascii="Arial" w:eastAsia="Times New Roman" w:hAnsi="Arial" w:cs="Arial"/>
        </w:rPr>
        <w:t>XI, XII y XIII</w:t>
      </w:r>
      <w:r>
        <w:rPr>
          <w:rFonts w:ascii="Arial" w:eastAsia="Times New Roman" w:hAnsi="Arial" w:cs="Arial"/>
        </w:rPr>
        <w:t xml:space="preserve"> </w:t>
      </w:r>
      <w:r w:rsidRPr="00EB03AB">
        <w:rPr>
          <w:rFonts w:ascii="Arial" w:eastAsia="Times New Roman" w:hAnsi="Arial" w:cs="Arial"/>
        </w:rPr>
        <w:t xml:space="preserve">de la Ley </w:t>
      </w:r>
      <w:r>
        <w:rPr>
          <w:rFonts w:ascii="Arial" w:eastAsia="Times New Roman" w:hAnsi="Arial" w:cs="Arial"/>
        </w:rPr>
        <w:t>de</w:t>
      </w:r>
      <w:r w:rsidRPr="00EB03AB">
        <w:rPr>
          <w:rFonts w:ascii="Arial" w:eastAsia="Times New Roman" w:hAnsi="Arial" w:cs="Arial"/>
        </w:rPr>
        <w:t xml:space="preserve"> Transparencia</w:t>
      </w:r>
      <w:r>
        <w:rPr>
          <w:rFonts w:ascii="Arial" w:eastAsia="Times New Roman" w:hAnsi="Arial" w:cs="Arial"/>
        </w:rPr>
        <w:t xml:space="preserve">, </w:t>
      </w:r>
      <w:r w:rsidRPr="00EB03AB">
        <w:rPr>
          <w:rFonts w:ascii="Arial" w:eastAsia="Times New Roman" w:hAnsi="Arial" w:cs="Arial"/>
        </w:rPr>
        <w:t>Acceso a la Información Pública</w:t>
      </w:r>
      <w:r>
        <w:rPr>
          <w:rFonts w:ascii="Arial" w:eastAsia="Times New Roman" w:hAnsi="Arial" w:cs="Arial"/>
        </w:rPr>
        <w:t xml:space="preserve"> y Buen Gobierno del Estado de Oaxaca</w:t>
      </w:r>
      <w:r w:rsidRPr="00EB03AB">
        <w:rPr>
          <w:rFonts w:ascii="Arial" w:eastAsia="Times New Roman" w:hAnsi="Arial" w:cs="Arial"/>
        </w:rPr>
        <w:t>, por lo que a continuación, se llevará a cabo el análisis conducente para determinar si el mismo actualiza o no, la causal antes referida</w:t>
      </w:r>
      <w:r w:rsidR="00020D25">
        <w:rPr>
          <w:rFonts w:ascii="Arial" w:eastAsia="Times New Roman" w:hAnsi="Arial" w:cs="Arial"/>
        </w:rPr>
        <w:t>.</w:t>
      </w:r>
      <w:r>
        <w:rPr>
          <w:rFonts w:ascii="Arial" w:eastAsia="Times New Roman" w:hAnsi="Arial" w:cs="Arial"/>
        </w:rPr>
        <w:t xml:space="preserve"> </w:t>
      </w:r>
      <w:r>
        <w:rPr>
          <w:rFonts w:ascii="Arial" w:eastAsia="Arial" w:hAnsi="Arial" w:cs="Arial"/>
        </w:rPr>
        <w:t xml:space="preserve">- - </w:t>
      </w:r>
    </w:p>
    <w:p w14:paraId="3D62CC84" w14:textId="29525CB7" w:rsidR="00EB03AB" w:rsidRDefault="00EB03AB" w:rsidP="00007541">
      <w:pPr>
        <w:autoSpaceDE w:val="0"/>
        <w:autoSpaceDN w:val="0"/>
        <w:adjustRightInd w:val="0"/>
        <w:spacing w:line="360" w:lineRule="auto"/>
        <w:mirrorIndents/>
        <w:jc w:val="both"/>
        <w:rPr>
          <w:rFonts w:ascii="Arial" w:eastAsia="Arial" w:hAnsi="Arial" w:cs="Arial"/>
        </w:rPr>
      </w:pPr>
      <w:r w:rsidRPr="00EB03AB">
        <w:rPr>
          <w:rFonts w:ascii="Arial" w:eastAsia="Arial" w:hAnsi="Arial" w:cs="Arial"/>
        </w:rPr>
        <w:t xml:space="preserve">Para comenzar, cabe señalar que el artículo </w:t>
      </w:r>
      <w:r>
        <w:rPr>
          <w:rFonts w:ascii="Arial" w:eastAsia="Times New Roman" w:hAnsi="Arial" w:cs="Arial"/>
        </w:rPr>
        <w:t>54</w:t>
      </w:r>
      <w:r w:rsidR="00977F94">
        <w:rPr>
          <w:rFonts w:ascii="Arial" w:eastAsia="Times New Roman" w:hAnsi="Arial" w:cs="Arial"/>
        </w:rPr>
        <w:t xml:space="preserve"> en sus</w:t>
      </w:r>
      <w:r w:rsidRPr="00EB03AB">
        <w:rPr>
          <w:rFonts w:ascii="Arial" w:eastAsia="Times New Roman" w:hAnsi="Arial" w:cs="Arial"/>
        </w:rPr>
        <w:t xml:space="preserve"> </w:t>
      </w:r>
      <w:r w:rsidR="00977F94" w:rsidRPr="00EB03AB">
        <w:rPr>
          <w:rFonts w:ascii="Arial" w:eastAsia="Times New Roman" w:hAnsi="Arial" w:cs="Arial"/>
        </w:rPr>
        <w:t>fracci</w:t>
      </w:r>
      <w:r w:rsidR="00977F94">
        <w:rPr>
          <w:rFonts w:ascii="Arial" w:eastAsia="Times New Roman" w:hAnsi="Arial" w:cs="Arial"/>
        </w:rPr>
        <w:t>ones</w:t>
      </w:r>
      <w:r w:rsidR="00977F94" w:rsidRPr="00EB03AB">
        <w:rPr>
          <w:rFonts w:ascii="Arial" w:eastAsia="Times New Roman" w:hAnsi="Arial" w:cs="Arial"/>
        </w:rPr>
        <w:t xml:space="preserve"> </w:t>
      </w:r>
      <w:r w:rsidR="00977F94">
        <w:rPr>
          <w:rFonts w:ascii="Arial" w:eastAsia="Times New Roman" w:hAnsi="Arial" w:cs="Arial"/>
        </w:rPr>
        <w:t xml:space="preserve">XI, XII y XIII </w:t>
      </w:r>
      <w:r w:rsidRPr="00EB03AB">
        <w:rPr>
          <w:rFonts w:ascii="Arial" w:eastAsia="Times New Roman" w:hAnsi="Arial" w:cs="Arial"/>
        </w:rPr>
        <w:t xml:space="preserve">de la Ley </w:t>
      </w:r>
      <w:r>
        <w:rPr>
          <w:rFonts w:ascii="Arial" w:eastAsia="Times New Roman" w:hAnsi="Arial" w:cs="Arial"/>
        </w:rPr>
        <w:t>de</w:t>
      </w:r>
      <w:r w:rsidRPr="00EB03AB">
        <w:rPr>
          <w:rFonts w:ascii="Arial" w:eastAsia="Times New Roman" w:hAnsi="Arial" w:cs="Arial"/>
        </w:rPr>
        <w:t xml:space="preserve"> Transparencia</w:t>
      </w:r>
      <w:r>
        <w:rPr>
          <w:rFonts w:ascii="Arial" w:eastAsia="Times New Roman" w:hAnsi="Arial" w:cs="Arial"/>
        </w:rPr>
        <w:t xml:space="preserve">, </w:t>
      </w:r>
      <w:r w:rsidRPr="00EB03AB">
        <w:rPr>
          <w:rFonts w:ascii="Arial" w:eastAsia="Times New Roman" w:hAnsi="Arial" w:cs="Arial"/>
        </w:rPr>
        <w:t>Acceso a la Información Pública</w:t>
      </w:r>
      <w:r>
        <w:rPr>
          <w:rFonts w:ascii="Arial" w:eastAsia="Times New Roman" w:hAnsi="Arial" w:cs="Arial"/>
        </w:rPr>
        <w:t xml:space="preserve"> y Buen Gobierno del Estado de Oaxaca</w:t>
      </w:r>
      <w:r w:rsidRPr="00EB03AB">
        <w:rPr>
          <w:rFonts w:ascii="Arial" w:eastAsia="Arial" w:hAnsi="Arial" w:cs="Arial"/>
        </w:rPr>
        <w:t xml:space="preserve">, establece que como información reservada podrá clasificarse aquella </w:t>
      </w:r>
      <w:r>
        <w:rPr>
          <w:rFonts w:ascii="Arial" w:eastAsia="Arial" w:hAnsi="Arial" w:cs="Arial"/>
        </w:rPr>
        <w:t xml:space="preserve">que </w:t>
      </w:r>
      <w:r w:rsidR="00977F94">
        <w:rPr>
          <w:rFonts w:ascii="Arial" w:eastAsia="Arial" w:hAnsi="Arial" w:cs="Arial"/>
        </w:rPr>
        <w:t>c</w:t>
      </w:r>
      <w:r w:rsidR="00977F94" w:rsidRPr="00977F94">
        <w:rPr>
          <w:rFonts w:ascii="Arial" w:eastAsia="Arial" w:hAnsi="Arial" w:cs="Arial"/>
        </w:rPr>
        <w:t>ontengan los expedientes judiciales o de los procedimientos administrativos seguidos en forma de juicio en tanto la sentencia no haya causado ejecutoria</w:t>
      </w:r>
      <w:r w:rsidR="00977F94">
        <w:rPr>
          <w:rFonts w:ascii="Arial" w:eastAsia="Arial" w:hAnsi="Arial" w:cs="Arial"/>
        </w:rPr>
        <w:t>; a</w:t>
      </w:r>
      <w:r w:rsidR="00977F94" w:rsidRPr="00977F94">
        <w:rPr>
          <w:rFonts w:ascii="Arial" w:eastAsia="Arial" w:hAnsi="Arial" w:cs="Arial"/>
        </w:rPr>
        <w:t>fecte los derechos del debido proceso;</w:t>
      </w:r>
      <w:r w:rsidR="00977F94">
        <w:rPr>
          <w:rFonts w:ascii="Arial" w:eastAsia="Arial" w:hAnsi="Arial" w:cs="Arial"/>
        </w:rPr>
        <w:t xml:space="preserve"> y</w:t>
      </w:r>
      <w:r w:rsidR="00977F94" w:rsidRPr="00977F94">
        <w:rPr>
          <w:rFonts w:ascii="Arial" w:eastAsia="Arial" w:hAnsi="Arial" w:cs="Arial"/>
        </w:rPr>
        <w:t xml:space="preserve"> </w:t>
      </w:r>
      <w:r w:rsidR="00977F94">
        <w:rPr>
          <w:rFonts w:ascii="Arial" w:eastAsia="Arial" w:hAnsi="Arial" w:cs="Arial"/>
        </w:rPr>
        <w:t>o</w:t>
      </w:r>
      <w:r w:rsidR="00977F94" w:rsidRPr="00977F94">
        <w:rPr>
          <w:rFonts w:ascii="Arial" w:eastAsia="Arial" w:hAnsi="Arial" w:cs="Arial"/>
        </w:rPr>
        <w:t>bstruya los procedimientos para fincar responsabilidad a los Servidores Públicos, en tanto no se haya dictado la resolución administrativa</w:t>
      </w:r>
      <w:r w:rsidRPr="00EB03AB">
        <w:rPr>
          <w:rFonts w:ascii="Arial" w:eastAsia="Arial" w:hAnsi="Arial" w:cs="Arial"/>
        </w:rPr>
        <w:t>.</w:t>
      </w:r>
      <w:r>
        <w:rPr>
          <w:rFonts w:ascii="Arial" w:eastAsia="Arial" w:hAnsi="Arial" w:cs="Arial"/>
        </w:rPr>
        <w:t xml:space="preserve"> - - - - - - - - - - - - - - - - - - - - - -</w:t>
      </w:r>
      <w:r w:rsidR="00977F94">
        <w:rPr>
          <w:rFonts w:ascii="Arial" w:eastAsia="Arial" w:hAnsi="Arial" w:cs="Arial"/>
        </w:rPr>
        <w:t xml:space="preserve"> - - - - - - - - - - - - - - - - - - - - - - - - - - - - </w:t>
      </w:r>
      <w:r>
        <w:rPr>
          <w:rFonts w:ascii="Arial" w:eastAsia="Arial" w:hAnsi="Arial" w:cs="Arial"/>
        </w:rPr>
        <w:t xml:space="preserve"> </w:t>
      </w:r>
    </w:p>
    <w:p w14:paraId="665537C6" w14:textId="151A49A9" w:rsidR="00483A45" w:rsidRPr="00977F94" w:rsidRDefault="00EB03AB" w:rsidP="00007541">
      <w:pPr>
        <w:autoSpaceDE w:val="0"/>
        <w:autoSpaceDN w:val="0"/>
        <w:adjustRightInd w:val="0"/>
        <w:spacing w:line="360" w:lineRule="auto"/>
        <w:mirrorIndents/>
        <w:jc w:val="both"/>
        <w:rPr>
          <w:rFonts w:ascii="Arial" w:eastAsia="Arial" w:hAnsi="Arial" w:cs="Arial"/>
          <w:i/>
          <w:iCs/>
        </w:rPr>
      </w:pPr>
      <w:r w:rsidRPr="00EB03AB">
        <w:rPr>
          <w:rFonts w:ascii="Arial" w:eastAsia="Arial" w:hAnsi="Arial" w:cs="Arial"/>
        </w:rPr>
        <w:t xml:space="preserve">Sobre el marco normativo citado, la </w:t>
      </w:r>
      <w:r w:rsidR="00977F94">
        <w:rPr>
          <w:rFonts w:ascii="Arial" w:eastAsia="Arial" w:hAnsi="Arial" w:cs="Arial"/>
        </w:rPr>
        <w:t>Contraloría General</w:t>
      </w:r>
      <w:r>
        <w:rPr>
          <w:rFonts w:ascii="Arial" w:eastAsia="Arial" w:hAnsi="Arial" w:cs="Arial"/>
        </w:rPr>
        <w:t xml:space="preserve"> </w:t>
      </w:r>
      <w:r w:rsidRPr="00EB03AB">
        <w:rPr>
          <w:rFonts w:ascii="Arial" w:eastAsia="Arial" w:hAnsi="Arial" w:cs="Arial"/>
        </w:rPr>
        <w:t xml:space="preserve">indicó que </w:t>
      </w:r>
      <w:r>
        <w:rPr>
          <w:rFonts w:ascii="Arial" w:eastAsia="Arial" w:hAnsi="Arial" w:cs="Arial"/>
        </w:rPr>
        <w:t>la</w:t>
      </w:r>
      <w:r w:rsidR="00483A45">
        <w:rPr>
          <w:rFonts w:ascii="Arial" w:eastAsia="Arial" w:hAnsi="Arial" w:cs="Arial"/>
        </w:rPr>
        <w:t xml:space="preserve"> entrega de la</w:t>
      </w:r>
      <w:r>
        <w:rPr>
          <w:rFonts w:ascii="Arial" w:eastAsia="Arial" w:hAnsi="Arial" w:cs="Arial"/>
        </w:rPr>
        <w:t xml:space="preserve"> información requerida en la solicitud de información de folio número </w:t>
      </w:r>
      <w:r w:rsidR="00977F94" w:rsidRPr="00977F94">
        <w:rPr>
          <w:rFonts w:ascii="Arial" w:eastAsia="Arial" w:hAnsi="Arial" w:cs="Arial"/>
        </w:rPr>
        <w:lastRenderedPageBreak/>
        <w:t>202728525000197</w:t>
      </w:r>
      <w:r w:rsidR="00483A45">
        <w:rPr>
          <w:rFonts w:ascii="Arial" w:eastAsia="Arial" w:hAnsi="Arial" w:cs="Arial"/>
        </w:rPr>
        <w:t xml:space="preserve">; </w:t>
      </w:r>
      <w:r w:rsidR="00977F94" w:rsidRPr="00977F94">
        <w:rPr>
          <w:rFonts w:ascii="Arial" w:eastAsia="Arial" w:hAnsi="Arial" w:cs="Arial"/>
          <w:i/>
          <w:iCs/>
        </w:rPr>
        <w:t>produciría un daño a la garantía procesal del servidor público, particulares y/o terceros involucrados en el expediente administrativo</w:t>
      </w:r>
      <w:r w:rsidR="00977F94">
        <w:rPr>
          <w:rFonts w:ascii="Arial" w:eastAsia="Arial" w:hAnsi="Arial" w:cs="Arial"/>
          <w:i/>
          <w:iCs/>
        </w:rPr>
        <w:t>,</w:t>
      </w:r>
      <w:r w:rsidR="00483A45">
        <w:rPr>
          <w:rFonts w:ascii="Arial" w:eastAsia="Arial" w:hAnsi="Arial" w:cs="Arial"/>
        </w:rPr>
        <w:t xml:space="preserve"> </w:t>
      </w:r>
      <w:r w:rsidR="00483A45" w:rsidRPr="00483A45">
        <w:rPr>
          <w:rFonts w:ascii="Arial" w:eastAsia="Arial" w:hAnsi="Arial" w:cs="Arial"/>
        </w:rPr>
        <w:t>por lo que solicitó su reserva.</w:t>
      </w:r>
      <w:r w:rsidR="00483A45">
        <w:rPr>
          <w:rFonts w:ascii="Arial" w:eastAsia="Arial" w:hAnsi="Arial" w:cs="Arial"/>
        </w:rPr>
        <w:t xml:space="preserve"> - - </w:t>
      </w:r>
      <w:r w:rsidR="00977F94">
        <w:rPr>
          <w:rFonts w:ascii="Arial" w:eastAsia="Arial" w:hAnsi="Arial" w:cs="Arial"/>
        </w:rPr>
        <w:t xml:space="preserve">- - - - - - - - - - - - - - - - - - - - - </w:t>
      </w:r>
      <w:r w:rsidR="00A84F64">
        <w:rPr>
          <w:rFonts w:ascii="Arial" w:eastAsia="Arial" w:hAnsi="Arial" w:cs="Arial"/>
        </w:rPr>
        <w:t xml:space="preserve">- - - - - - - - - - - - - - - - - - - - - - - - </w:t>
      </w:r>
    </w:p>
    <w:p w14:paraId="11485FBB" w14:textId="57F451F0" w:rsidR="00483A45" w:rsidRPr="00483A45" w:rsidRDefault="00483A45" w:rsidP="00007541">
      <w:pPr>
        <w:autoSpaceDE w:val="0"/>
        <w:autoSpaceDN w:val="0"/>
        <w:adjustRightInd w:val="0"/>
        <w:spacing w:line="360" w:lineRule="auto"/>
        <w:mirrorIndents/>
        <w:jc w:val="both"/>
        <w:rPr>
          <w:rFonts w:ascii="Arial" w:eastAsia="Arial" w:hAnsi="Arial" w:cs="Arial"/>
        </w:rPr>
      </w:pPr>
      <w:r w:rsidRPr="00483A45">
        <w:rPr>
          <w:rFonts w:ascii="Arial" w:eastAsia="Arial" w:hAnsi="Arial" w:cs="Arial"/>
        </w:rPr>
        <w:t>Esta solicitud se fundamenta en que</w:t>
      </w:r>
      <w:r w:rsidR="00A84F64">
        <w:rPr>
          <w:rFonts w:ascii="Arial" w:eastAsia="Arial" w:hAnsi="Arial" w:cs="Arial"/>
        </w:rPr>
        <w:t>,</w:t>
      </w:r>
      <w:r w:rsidRPr="00483A45">
        <w:rPr>
          <w:rFonts w:ascii="Arial" w:eastAsia="Arial" w:hAnsi="Arial" w:cs="Arial"/>
        </w:rPr>
        <w:t xml:space="preserve"> la </w:t>
      </w:r>
      <w:r w:rsidR="00977F94">
        <w:rPr>
          <w:rFonts w:ascii="Arial" w:eastAsia="Arial" w:hAnsi="Arial" w:cs="Arial"/>
        </w:rPr>
        <w:t xml:space="preserve">divulgación de la </w:t>
      </w:r>
      <w:r w:rsidRPr="00483A45">
        <w:rPr>
          <w:rFonts w:ascii="Arial" w:eastAsia="Arial" w:hAnsi="Arial" w:cs="Arial"/>
        </w:rPr>
        <w:t xml:space="preserve">información requerida </w:t>
      </w:r>
      <w:r w:rsidR="00977F94" w:rsidRPr="00977F94">
        <w:rPr>
          <w:rFonts w:ascii="Arial" w:eastAsia="Arial" w:hAnsi="Arial" w:cs="Arial"/>
          <w:b/>
          <w:bCs/>
          <w:i/>
          <w:iCs/>
        </w:rPr>
        <w:t>vulneraria el debido proceso con el que cuentan los involucrados, como la adecuada impartición de justicia por parte de la autoridad resolutora</w:t>
      </w:r>
      <w:r w:rsidR="00977F94" w:rsidRPr="00977F94">
        <w:rPr>
          <w:rFonts w:ascii="Arial" w:eastAsia="Arial" w:hAnsi="Arial" w:cs="Arial"/>
          <w:i/>
          <w:iCs/>
        </w:rPr>
        <w:t>, en tanto que la resolución emitida dentro del procedimiento administrativo sancionador que aún no tiene el carácter de</w:t>
      </w:r>
      <w:r w:rsidR="00977F94" w:rsidRPr="00977F94">
        <w:rPr>
          <w:rFonts w:ascii="Arial" w:eastAsia="Arial" w:hAnsi="Arial" w:cs="Arial"/>
        </w:rPr>
        <w:t xml:space="preserve"> </w:t>
      </w:r>
      <w:r w:rsidR="00977F94" w:rsidRPr="00977F94">
        <w:rPr>
          <w:rFonts w:ascii="Arial" w:eastAsia="Arial" w:hAnsi="Arial" w:cs="Arial"/>
          <w:i/>
          <w:iCs/>
        </w:rPr>
        <w:t>firme</w:t>
      </w:r>
      <w:r w:rsidRPr="00483A45">
        <w:rPr>
          <w:rFonts w:ascii="Arial" w:eastAsia="Arial" w:hAnsi="Arial" w:cs="Arial"/>
        </w:rPr>
        <w:t>.</w:t>
      </w:r>
      <w:r>
        <w:rPr>
          <w:rFonts w:ascii="Arial" w:eastAsia="Arial" w:hAnsi="Arial" w:cs="Arial"/>
        </w:rPr>
        <w:t xml:space="preserve"> - - - - - - - - </w:t>
      </w:r>
      <w:r w:rsidR="00A84F64">
        <w:rPr>
          <w:rFonts w:ascii="Arial" w:eastAsia="Arial" w:hAnsi="Arial" w:cs="Arial"/>
        </w:rPr>
        <w:t xml:space="preserve">- - - - - - - - - - - - - - - - - - - - - - - - - - - - </w:t>
      </w:r>
    </w:p>
    <w:p w14:paraId="18C8BF75" w14:textId="08E883EE" w:rsidR="00483A45" w:rsidRPr="00A84F64" w:rsidRDefault="00483A45" w:rsidP="00007541">
      <w:pPr>
        <w:autoSpaceDE w:val="0"/>
        <w:autoSpaceDN w:val="0"/>
        <w:adjustRightInd w:val="0"/>
        <w:spacing w:line="360" w:lineRule="auto"/>
        <w:mirrorIndents/>
        <w:jc w:val="both"/>
        <w:rPr>
          <w:rFonts w:ascii="Arial" w:eastAsia="Arial" w:hAnsi="Arial" w:cs="Arial"/>
        </w:rPr>
      </w:pPr>
      <w:r w:rsidRPr="00483A45">
        <w:rPr>
          <w:rFonts w:ascii="Arial" w:eastAsia="Arial" w:hAnsi="Arial" w:cs="Arial"/>
        </w:rPr>
        <w:t xml:space="preserve">En ese contexto indicó </w:t>
      </w:r>
      <w:r w:rsidR="00020D25" w:rsidRPr="00483A45">
        <w:rPr>
          <w:rFonts w:ascii="Arial" w:eastAsia="Arial" w:hAnsi="Arial" w:cs="Arial"/>
        </w:rPr>
        <w:t>que,</w:t>
      </w:r>
      <w:r>
        <w:rPr>
          <w:rFonts w:ascii="Arial" w:eastAsia="Arial" w:hAnsi="Arial" w:cs="Arial"/>
        </w:rPr>
        <w:t xml:space="preserve"> </w:t>
      </w:r>
      <w:r w:rsidR="00A84F64">
        <w:rPr>
          <w:rFonts w:ascii="Arial" w:eastAsia="Arial" w:hAnsi="Arial" w:cs="Arial"/>
          <w:i/>
          <w:iCs/>
        </w:rPr>
        <w:t>d</w:t>
      </w:r>
      <w:r w:rsidR="00A84F64" w:rsidRPr="00A84F64">
        <w:rPr>
          <w:rFonts w:ascii="Arial" w:eastAsia="Arial" w:hAnsi="Arial" w:cs="Arial"/>
          <w:i/>
          <w:iCs/>
        </w:rPr>
        <w:t xml:space="preserve">ar a conocer parte o la totalidad de las constancias contenidas en el expediente administrativo que nos ocupa, vulneraría el bien jurídico tutelado, es decir el </w:t>
      </w:r>
      <w:r w:rsidR="00A84F64" w:rsidRPr="00A84F64">
        <w:rPr>
          <w:rFonts w:ascii="Arial" w:eastAsia="Arial" w:hAnsi="Arial" w:cs="Arial"/>
          <w:b/>
          <w:bCs/>
          <w:i/>
          <w:iCs/>
        </w:rPr>
        <w:t>derecho al debido proceso</w:t>
      </w:r>
      <w:r w:rsidR="00A84F64" w:rsidRPr="00A84F64">
        <w:rPr>
          <w:rFonts w:ascii="Arial" w:eastAsia="Arial" w:hAnsi="Arial" w:cs="Arial"/>
          <w:i/>
          <w:iCs/>
        </w:rPr>
        <w:t>, que protege la causal de reserva prevista en la fracción X, del artículo 112 de la Ley General de Transparencia y Acceso a la Información Pública; por lo cual, debe privilegiarse el sigilo de la información hasta en tanto se conozca sobre la interposición de algún medio de defensa en contra de las resoluciones administrativas y se dirima en su totalidad el litigio, pues de lo contrario se estaría en riesgo de transgredir el principio de presunción de inocencia del que goza el servidor público implicado, en tanto no sea declarada la firmeza de su responsabilidad y de la sanción impuesta</w:t>
      </w:r>
      <w:r w:rsidRPr="00A84F64">
        <w:rPr>
          <w:rFonts w:ascii="Arial" w:eastAsia="Arial" w:hAnsi="Arial" w:cs="Arial"/>
        </w:rPr>
        <w:t xml:space="preserve">. - - - - - - - - - - </w:t>
      </w:r>
    </w:p>
    <w:p w14:paraId="08CA005A" w14:textId="02C53D9C" w:rsidR="00A870A4" w:rsidRDefault="00483A45" w:rsidP="00007541">
      <w:pPr>
        <w:autoSpaceDE w:val="0"/>
        <w:autoSpaceDN w:val="0"/>
        <w:adjustRightInd w:val="0"/>
        <w:spacing w:line="360" w:lineRule="auto"/>
        <w:mirrorIndents/>
        <w:jc w:val="both"/>
        <w:rPr>
          <w:rFonts w:ascii="Arial" w:eastAsia="Arial" w:hAnsi="Arial" w:cs="Arial"/>
        </w:rPr>
      </w:pPr>
      <w:r w:rsidRPr="00483A45">
        <w:rPr>
          <w:rFonts w:ascii="Arial" w:eastAsia="Arial" w:hAnsi="Arial" w:cs="Arial"/>
        </w:rPr>
        <w:t>En tales consideraciones</w:t>
      </w:r>
      <w:r>
        <w:rPr>
          <w:rFonts w:ascii="Arial" w:eastAsia="Arial" w:hAnsi="Arial" w:cs="Arial"/>
        </w:rPr>
        <w:t xml:space="preserve"> y c</w:t>
      </w:r>
      <w:r w:rsidRPr="00483A45">
        <w:rPr>
          <w:rFonts w:ascii="Arial" w:eastAsia="Arial" w:hAnsi="Arial" w:cs="Arial"/>
        </w:rPr>
        <w:t xml:space="preserve">on base en la </w:t>
      </w:r>
      <w:r w:rsidR="00020D25">
        <w:rPr>
          <w:rFonts w:ascii="Arial" w:eastAsia="Arial" w:hAnsi="Arial" w:cs="Arial"/>
        </w:rPr>
        <w:t>p</w:t>
      </w:r>
      <w:r w:rsidRPr="00483A45">
        <w:rPr>
          <w:rFonts w:ascii="Arial" w:eastAsia="Arial" w:hAnsi="Arial" w:cs="Arial"/>
        </w:rPr>
        <w:t xml:space="preserve">rueba de </w:t>
      </w:r>
      <w:r w:rsidR="00020D25">
        <w:rPr>
          <w:rFonts w:ascii="Arial" w:eastAsia="Arial" w:hAnsi="Arial" w:cs="Arial"/>
        </w:rPr>
        <w:t>d</w:t>
      </w:r>
      <w:r w:rsidRPr="00483A45">
        <w:rPr>
          <w:rFonts w:ascii="Arial" w:eastAsia="Arial" w:hAnsi="Arial" w:cs="Arial"/>
        </w:rPr>
        <w:t xml:space="preserve">año proporcionada por la </w:t>
      </w:r>
      <w:r w:rsidR="00A84F64">
        <w:rPr>
          <w:rFonts w:ascii="Arial" w:eastAsia="Arial" w:hAnsi="Arial" w:cs="Arial"/>
        </w:rPr>
        <w:t>Contraloría General</w:t>
      </w:r>
      <w:r w:rsidRPr="00483A45">
        <w:rPr>
          <w:rFonts w:ascii="Arial" w:eastAsia="Arial" w:hAnsi="Arial" w:cs="Arial"/>
        </w:rPr>
        <w:t xml:space="preserve">, </w:t>
      </w:r>
      <w:r>
        <w:rPr>
          <w:rFonts w:ascii="Arial" w:eastAsia="Arial" w:hAnsi="Arial" w:cs="Arial"/>
        </w:rPr>
        <w:t xml:space="preserve">este </w:t>
      </w:r>
      <w:r w:rsidRPr="00483A45">
        <w:rPr>
          <w:rFonts w:ascii="Arial" w:eastAsia="Arial" w:hAnsi="Arial" w:cs="Arial"/>
        </w:rPr>
        <w:t xml:space="preserve">Comité de Transparencia determina que </w:t>
      </w:r>
      <w:r w:rsidRPr="00483A45">
        <w:rPr>
          <w:rFonts w:ascii="Arial" w:eastAsia="Arial" w:hAnsi="Arial" w:cs="Arial"/>
          <w:b/>
          <w:bCs/>
        </w:rPr>
        <w:t>se acreditan todos los elementos</w:t>
      </w:r>
      <w:r w:rsidRPr="00483A45">
        <w:rPr>
          <w:rFonts w:ascii="Arial" w:eastAsia="Arial" w:hAnsi="Arial" w:cs="Arial"/>
        </w:rPr>
        <w:t xml:space="preserve"> requeridos para justificar la clasificación de la información solicitada: </w:t>
      </w:r>
      <w:r w:rsidR="00A84F64" w:rsidRPr="00977F94">
        <w:rPr>
          <w:rFonts w:ascii="Arial" w:eastAsia="Times New Roman" w:hAnsi="Arial" w:cs="Arial"/>
          <w:i/>
          <w:iCs/>
        </w:rPr>
        <w:t>Copia íntegra de los expedientes de dichas quejas, denuncias o procedimientos, incluyendo: Actas de inicio. Resoluciones emitidas. Fundamentos legales de la concusión y archivo. Sanciones impuestas (en caso de existir)</w:t>
      </w:r>
      <w:r w:rsidRPr="00483A45">
        <w:rPr>
          <w:rFonts w:ascii="Arial" w:eastAsia="Arial" w:hAnsi="Arial" w:cs="Arial"/>
          <w:i/>
          <w:iCs/>
        </w:rPr>
        <w:t>.</w:t>
      </w:r>
      <w:r>
        <w:rPr>
          <w:rFonts w:ascii="Arial" w:eastAsia="Arial" w:hAnsi="Arial" w:cs="Arial"/>
          <w:i/>
          <w:iCs/>
        </w:rPr>
        <w:t xml:space="preserve"> </w:t>
      </w:r>
      <w:r>
        <w:rPr>
          <w:rFonts w:ascii="Arial" w:eastAsia="Arial" w:hAnsi="Arial" w:cs="Arial"/>
        </w:rPr>
        <w:t xml:space="preserve">- - - - - </w:t>
      </w:r>
    </w:p>
    <w:p w14:paraId="05827B52" w14:textId="3117A7E2" w:rsidR="00A84F64" w:rsidRDefault="00483A45" w:rsidP="00007541">
      <w:pPr>
        <w:autoSpaceDE w:val="0"/>
        <w:autoSpaceDN w:val="0"/>
        <w:adjustRightInd w:val="0"/>
        <w:spacing w:line="360" w:lineRule="auto"/>
        <w:mirrorIndents/>
        <w:jc w:val="both"/>
        <w:rPr>
          <w:rFonts w:ascii="Arial" w:eastAsia="Arial" w:hAnsi="Arial" w:cs="Arial"/>
        </w:rPr>
      </w:pPr>
      <w:r w:rsidRPr="00483A45">
        <w:rPr>
          <w:rFonts w:ascii="Arial" w:eastAsia="Arial" w:hAnsi="Arial" w:cs="Arial"/>
        </w:rPr>
        <w:t>Esta justificación se sustenta en la concurrencia de los tres puntos de la prueba de daño, de conformidad con lo establecido en la Ley General y Local de Transparencia, así como en los Lineamientos Generales en materia de clasificación y desclasificación de la información.</w:t>
      </w:r>
      <w:r>
        <w:rPr>
          <w:rFonts w:ascii="Arial" w:eastAsia="Arial" w:hAnsi="Arial" w:cs="Arial"/>
        </w:rPr>
        <w:t xml:space="preserve"> Toda vez que, se acredita que: I. L</w:t>
      </w:r>
      <w:r w:rsidRPr="00483A45">
        <w:rPr>
          <w:rFonts w:ascii="Arial" w:eastAsia="Arial" w:hAnsi="Arial" w:cs="Arial"/>
        </w:rPr>
        <w:t xml:space="preserve">a divulgación de los </w:t>
      </w:r>
      <w:r w:rsidR="00A84F64" w:rsidRPr="00A84F64">
        <w:rPr>
          <w:rFonts w:ascii="Arial" w:eastAsia="Arial" w:hAnsi="Arial" w:cs="Arial"/>
          <w:b/>
          <w:bCs/>
        </w:rPr>
        <w:t>procedimiento</w:t>
      </w:r>
      <w:r w:rsidR="00A84F64">
        <w:rPr>
          <w:rFonts w:ascii="Arial" w:eastAsia="Arial" w:hAnsi="Arial" w:cs="Arial"/>
          <w:b/>
          <w:bCs/>
        </w:rPr>
        <w:t>s</w:t>
      </w:r>
      <w:r w:rsidR="00A84F64" w:rsidRPr="00A84F64">
        <w:rPr>
          <w:rFonts w:ascii="Arial" w:eastAsia="Arial" w:hAnsi="Arial" w:cs="Arial"/>
          <w:b/>
          <w:bCs/>
        </w:rPr>
        <w:t xml:space="preserve"> de responsabilidad administrativa que se encuentra</w:t>
      </w:r>
      <w:r w:rsidR="00A84F64">
        <w:rPr>
          <w:rFonts w:ascii="Arial" w:eastAsia="Arial" w:hAnsi="Arial" w:cs="Arial"/>
          <w:b/>
          <w:bCs/>
        </w:rPr>
        <w:t>n</w:t>
      </w:r>
      <w:r w:rsidR="00A84F64" w:rsidRPr="00A84F64">
        <w:rPr>
          <w:rFonts w:ascii="Arial" w:eastAsia="Arial" w:hAnsi="Arial" w:cs="Arial"/>
          <w:b/>
          <w:bCs/>
        </w:rPr>
        <w:t xml:space="preserve"> en trámite sin que exista una resolución administrativa que le</w:t>
      </w:r>
      <w:r w:rsidR="00A84F64">
        <w:rPr>
          <w:rFonts w:ascii="Arial" w:eastAsia="Arial" w:hAnsi="Arial" w:cs="Arial"/>
          <w:b/>
          <w:bCs/>
        </w:rPr>
        <w:t>s</w:t>
      </w:r>
      <w:r w:rsidR="00A84F64" w:rsidRPr="00A84F64">
        <w:rPr>
          <w:rFonts w:ascii="Arial" w:eastAsia="Arial" w:hAnsi="Arial" w:cs="Arial"/>
          <w:b/>
          <w:bCs/>
        </w:rPr>
        <w:t xml:space="preserve"> haya puesto fin</w:t>
      </w:r>
      <w:r w:rsidR="00A84F64">
        <w:rPr>
          <w:rFonts w:ascii="Arial" w:eastAsia="Arial" w:hAnsi="Arial" w:cs="Arial"/>
          <w:b/>
          <w:bCs/>
        </w:rPr>
        <w:t xml:space="preserve">, </w:t>
      </w:r>
      <w:r w:rsidRPr="00483A45">
        <w:rPr>
          <w:rFonts w:ascii="Arial" w:eastAsia="Arial" w:hAnsi="Arial" w:cs="Arial"/>
        </w:rPr>
        <w:t>representa un riesgo real y demostrable de perjuicio significativo al interés público.</w:t>
      </w:r>
      <w:r>
        <w:rPr>
          <w:rFonts w:ascii="Arial" w:eastAsia="Arial" w:hAnsi="Arial" w:cs="Arial"/>
        </w:rPr>
        <w:t xml:space="preserve"> II. E</w:t>
      </w:r>
      <w:r w:rsidRPr="00483A45">
        <w:rPr>
          <w:rFonts w:ascii="Arial" w:eastAsia="Arial" w:hAnsi="Arial" w:cs="Arial"/>
        </w:rPr>
        <w:t xml:space="preserve">l </w:t>
      </w:r>
      <w:r w:rsidRPr="00483A45">
        <w:rPr>
          <w:rFonts w:ascii="Arial" w:eastAsia="Arial" w:hAnsi="Arial" w:cs="Arial"/>
          <w:b/>
          <w:bCs/>
        </w:rPr>
        <w:t>riesgo de perjuicio</w:t>
      </w:r>
      <w:r w:rsidRPr="00483A45">
        <w:rPr>
          <w:rFonts w:ascii="Arial" w:eastAsia="Arial" w:hAnsi="Arial" w:cs="Arial"/>
        </w:rPr>
        <w:t xml:space="preserve"> detallado (</w:t>
      </w:r>
      <w:r w:rsidR="00A84F64" w:rsidRPr="00A84F64">
        <w:rPr>
          <w:rFonts w:ascii="Arial" w:eastAsia="Arial" w:hAnsi="Arial" w:cs="Arial"/>
        </w:rPr>
        <w:t>ocasionar obstrucción al procedimiento y a las etapas que las áreas competentes deben seguir para encontrarse en aptitud de emitir la resolución administrativa correspondiente</w:t>
      </w:r>
      <w:r w:rsidRPr="00483A45">
        <w:rPr>
          <w:rFonts w:ascii="Arial" w:eastAsia="Arial" w:hAnsi="Arial" w:cs="Arial"/>
        </w:rPr>
        <w:t xml:space="preserve">) </w:t>
      </w:r>
      <w:r w:rsidRPr="00483A45">
        <w:rPr>
          <w:rFonts w:ascii="Arial" w:eastAsia="Arial" w:hAnsi="Arial" w:cs="Arial"/>
          <w:b/>
          <w:bCs/>
        </w:rPr>
        <w:t>supera claramente el interés público</w:t>
      </w:r>
      <w:r w:rsidRPr="00483A45">
        <w:rPr>
          <w:rFonts w:ascii="Arial" w:eastAsia="Arial" w:hAnsi="Arial" w:cs="Arial"/>
        </w:rPr>
        <w:t xml:space="preserve"> de que se difundan los </w:t>
      </w:r>
      <w:r w:rsidR="00A84F64">
        <w:rPr>
          <w:rFonts w:ascii="Arial" w:eastAsia="Arial" w:hAnsi="Arial" w:cs="Arial"/>
        </w:rPr>
        <w:t>procedimientos en trámite</w:t>
      </w:r>
      <w:r>
        <w:rPr>
          <w:rFonts w:ascii="Arial" w:eastAsia="Arial" w:hAnsi="Arial" w:cs="Arial"/>
        </w:rPr>
        <w:t>; y III. L</w:t>
      </w:r>
      <w:r w:rsidRPr="00483A45">
        <w:rPr>
          <w:rFonts w:ascii="Arial" w:eastAsia="Arial" w:hAnsi="Arial" w:cs="Arial"/>
        </w:rPr>
        <w:t>a clasificación cumple con el principio de proporcionalidad y es el medio menos restrictivo para evitar el perjuicio</w:t>
      </w:r>
      <w:r>
        <w:rPr>
          <w:rFonts w:ascii="Arial" w:eastAsia="Arial" w:hAnsi="Arial" w:cs="Arial"/>
        </w:rPr>
        <w:t>, siendo que l</w:t>
      </w:r>
      <w:r w:rsidRPr="00483A45">
        <w:rPr>
          <w:rFonts w:ascii="Arial" w:eastAsia="Arial" w:hAnsi="Arial" w:cs="Arial"/>
        </w:rPr>
        <w:t xml:space="preserve">a clasificación se aplica </w:t>
      </w:r>
      <w:r w:rsidRPr="00483A45">
        <w:rPr>
          <w:rFonts w:ascii="Arial" w:eastAsia="Arial" w:hAnsi="Arial" w:cs="Arial"/>
          <w:b/>
          <w:bCs/>
        </w:rPr>
        <w:t xml:space="preserve">únicamente </w:t>
      </w:r>
      <w:r w:rsidRPr="00483A45">
        <w:rPr>
          <w:rFonts w:ascii="Arial" w:eastAsia="Arial" w:hAnsi="Arial" w:cs="Arial"/>
          <w:b/>
          <w:bCs/>
        </w:rPr>
        <w:lastRenderedPageBreak/>
        <w:t xml:space="preserve">a la información </w:t>
      </w:r>
      <w:r w:rsidR="00A84F64">
        <w:rPr>
          <w:rFonts w:ascii="Arial" w:eastAsia="Arial" w:hAnsi="Arial" w:cs="Arial"/>
          <w:b/>
          <w:bCs/>
        </w:rPr>
        <w:t>contenido en los expedientes</w:t>
      </w:r>
      <w:r w:rsidRPr="00483A45">
        <w:rPr>
          <w:rFonts w:ascii="Arial" w:eastAsia="Arial" w:hAnsi="Arial" w:cs="Arial"/>
        </w:rPr>
        <w:t xml:space="preserve"> que </w:t>
      </w:r>
      <w:r w:rsidR="00A84F64">
        <w:rPr>
          <w:rFonts w:ascii="Arial" w:eastAsia="Arial" w:hAnsi="Arial" w:cs="Arial"/>
        </w:rPr>
        <w:t>se encuentran inconclusos</w:t>
      </w:r>
      <w:r>
        <w:rPr>
          <w:rFonts w:ascii="Arial" w:eastAsia="Arial" w:hAnsi="Arial" w:cs="Arial"/>
        </w:rPr>
        <w:t xml:space="preserve">; </w:t>
      </w:r>
      <w:r w:rsidRPr="00483A45">
        <w:rPr>
          <w:rFonts w:ascii="Arial" w:eastAsia="Arial" w:hAnsi="Arial" w:cs="Arial"/>
        </w:rPr>
        <w:t xml:space="preserve">es </w:t>
      </w:r>
      <w:r w:rsidRPr="00483A45">
        <w:rPr>
          <w:rFonts w:ascii="Arial" w:eastAsia="Arial" w:hAnsi="Arial" w:cs="Arial"/>
          <w:b/>
          <w:bCs/>
        </w:rPr>
        <w:t>preventiva</w:t>
      </w:r>
      <w:r w:rsidRPr="00483A45">
        <w:rPr>
          <w:rFonts w:ascii="Arial" w:eastAsia="Arial" w:hAnsi="Arial" w:cs="Arial"/>
        </w:rPr>
        <w:t xml:space="preserve"> y se mantendrá solo hasta que </w:t>
      </w:r>
      <w:r w:rsidR="00A84F64">
        <w:rPr>
          <w:rFonts w:ascii="Arial" w:eastAsia="Arial" w:hAnsi="Arial" w:cs="Arial"/>
        </w:rPr>
        <w:t>dichos procedimientos hayan causado estado</w:t>
      </w:r>
      <w:r w:rsidRPr="00483A45">
        <w:rPr>
          <w:rFonts w:ascii="Arial" w:eastAsia="Arial" w:hAnsi="Arial" w:cs="Arial"/>
        </w:rPr>
        <w:t xml:space="preserve">, buscando evitar </w:t>
      </w:r>
      <w:r w:rsidR="00A84F64">
        <w:rPr>
          <w:rFonts w:ascii="Arial" w:eastAsia="Arial" w:hAnsi="Arial" w:cs="Arial"/>
        </w:rPr>
        <w:t xml:space="preserve">que se impida </w:t>
      </w:r>
      <w:r w:rsidR="00A84F64" w:rsidRPr="00A84F64">
        <w:rPr>
          <w:rFonts w:ascii="Arial" w:eastAsia="Arial" w:hAnsi="Arial" w:cs="Arial"/>
        </w:rPr>
        <w:t>la conducción de un procedimiento imparcial y sin injerencias</w:t>
      </w:r>
      <w:r>
        <w:rPr>
          <w:rFonts w:ascii="Arial" w:eastAsia="Arial" w:hAnsi="Arial" w:cs="Arial"/>
        </w:rPr>
        <w:t xml:space="preserve">; y </w:t>
      </w:r>
      <w:r w:rsidRPr="00483A45">
        <w:rPr>
          <w:rFonts w:ascii="Arial" w:eastAsia="Arial" w:hAnsi="Arial" w:cs="Arial"/>
        </w:rPr>
        <w:t>es el medio más inmediato y menos restrictivo para evitar</w:t>
      </w:r>
      <w:r w:rsidR="00A84F64">
        <w:rPr>
          <w:rFonts w:ascii="Arial" w:eastAsia="Arial" w:hAnsi="Arial" w:cs="Arial"/>
        </w:rPr>
        <w:t xml:space="preserve"> que</w:t>
      </w:r>
      <w:r w:rsidRPr="00483A45">
        <w:rPr>
          <w:rFonts w:ascii="Arial" w:eastAsia="Arial" w:hAnsi="Arial" w:cs="Arial"/>
        </w:rPr>
        <w:t xml:space="preserve"> </w:t>
      </w:r>
      <w:r w:rsidR="00A84F64" w:rsidRPr="00A84F64">
        <w:rPr>
          <w:rFonts w:ascii="Arial" w:eastAsia="Arial" w:hAnsi="Arial" w:cs="Arial"/>
        </w:rPr>
        <w:t xml:space="preserve">el debido proceso del procedimiento </w:t>
      </w:r>
      <w:r w:rsidR="00A84F64">
        <w:rPr>
          <w:rFonts w:ascii="Arial" w:eastAsia="Arial" w:hAnsi="Arial" w:cs="Arial"/>
        </w:rPr>
        <w:t>se</w:t>
      </w:r>
      <w:r w:rsidR="00A84F64" w:rsidRPr="00A84F64">
        <w:rPr>
          <w:rFonts w:ascii="Arial" w:eastAsia="Arial" w:hAnsi="Arial" w:cs="Arial"/>
        </w:rPr>
        <w:t xml:space="preserve"> </w:t>
      </w:r>
      <w:r w:rsidR="00A84F64">
        <w:rPr>
          <w:rFonts w:ascii="Arial" w:eastAsia="Arial" w:hAnsi="Arial" w:cs="Arial"/>
        </w:rPr>
        <w:t>vea</w:t>
      </w:r>
      <w:r w:rsidR="00A84F64" w:rsidRPr="00A84F64">
        <w:rPr>
          <w:rFonts w:ascii="Arial" w:eastAsia="Arial" w:hAnsi="Arial" w:cs="Arial"/>
        </w:rPr>
        <w:t xml:space="preserve"> trastocado, obstruyéndose así la correspondiente determinación</w:t>
      </w:r>
      <w:r w:rsidRPr="00483A45">
        <w:rPr>
          <w:rFonts w:ascii="Arial" w:eastAsia="Arial" w:hAnsi="Arial" w:cs="Arial"/>
        </w:rPr>
        <w:t>.</w:t>
      </w:r>
      <w:r w:rsidR="00A870A4">
        <w:rPr>
          <w:rFonts w:ascii="Arial" w:eastAsia="Arial" w:hAnsi="Arial" w:cs="Arial"/>
        </w:rPr>
        <w:t xml:space="preserve"> - - - - - - - - - - - - - - - - - - - - - - - - - </w:t>
      </w:r>
      <w:r w:rsidR="00A84F64">
        <w:rPr>
          <w:rFonts w:ascii="Arial" w:eastAsia="Arial" w:hAnsi="Arial" w:cs="Arial"/>
        </w:rPr>
        <w:t xml:space="preserve">- - - - - - - - - - - - </w:t>
      </w:r>
    </w:p>
    <w:p w14:paraId="62B25AD0" w14:textId="331C5BC5" w:rsidR="00C16715" w:rsidRDefault="00A84F64" w:rsidP="00007541">
      <w:pPr>
        <w:autoSpaceDE w:val="0"/>
        <w:autoSpaceDN w:val="0"/>
        <w:adjustRightInd w:val="0"/>
        <w:spacing w:line="360" w:lineRule="auto"/>
        <w:mirrorIndents/>
        <w:jc w:val="both"/>
        <w:rPr>
          <w:rFonts w:ascii="Arial" w:eastAsia="Arial" w:hAnsi="Arial" w:cs="Arial"/>
        </w:rPr>
      </w:pPr>
      <w:r w:rsidRPr="00A84F64">
        <w:rPr>
          <w:rFonts w:ascii="Arial" w:eastAsia="Arial" w:hAnsi="Arial" w:cs="Arial"/>
        </w:rPr>
        <w:t xml:space="preserve">En esa tesitura cabe mencionar que la Contraloría </w:t>
      </w:r>
      <w:r>
        <w:rPr>
          <w:rFonts w:ascii="Arial" w:eastAsia="Arial" w:hAnsi="Arial" w:cs="Arial"/>
        </w:rPr>
        <w:t>General</w:t>
      </w:r>
      <w:r w:rsidRPr="00A84F64">
        <w:rPr>
          <w:rFonts w:ascii="Arial" w:eastAsia="Arial" w:hAnsi="Arial" w:cs="Arial"/>
        </w:rPr>
        <w:t xml:space="preserve"> señaló </w:t>
      </w:r>
      <w:r>
        <w:rPr>
          <w:rFonts w:ascii="Arial" w:eastAsia="Arial" w:hAnsi="Arial" w:cs="Arial"/>
        </w:rPr>
        <w:t xml:space="preserve">la existencia de tres cuadernos de </w:t>
      </w:r>
      <w:r w:rsidRPr="00C16715">
        <w:rPr>
          <w:rFonts w:ascii="Arial" w:eastAsia="Arial" w:hAnsi="Arial" w:cs="Arial"/>
        </w:rPr>
        <w:t>antecedentes</w:t>
      </w:r>
      <w:r w:rsidR="00C16715" w:rsidRPr="00C16715">
        <w:rPr>
          <w:rFonts w:ascii="Arial" w:eastAsia="Arial" w:hAnsi="Arial" w:cs="Arial"/>
        </w:rPr>
        <w:t xml:space="preserve"> iniciados por la autoridad investigadora de la Contraloría General</w:t>
      </w:r>
      <w:r w:rsidR="00C16715">
        <w:rPr>
          <w:rFonts w:ascii="Arial" w:eastAsia="Arial" w:hAnsi="Arial" w:cs="Arial"/>
        </w:rPr>
        <w:t xml:space="preserve"> y</w:t>
      </w:r>
      <w:r w:rsidRPr="00A84F64">
        <w:rPr>
          <w:rFonts w:ascii="Arial" w:eastAsia="Arial" w:hAnsi="Arial" w:cs="Arial"/>
        </w:rPr>
        <w:t xml:space="preserve"> que </w:t>
      </w:r>
      <w:r w:rsidR="00C16715">
        <w:rPr>
          <w:rFonts w:ascii="Arial" w:eastAsia="Arial" w:hAnsi="Arial" w:cs="Arial"/>
        </w:rPr>
        <w:t xml:space="preserve">todavía </w:t>
      </w:r>
      <w:r w:rsidRPr="00A84F64">
        <w:rPr>
          <w:rFonts w:ascii="Arial" w:eastAsia="Arial" w:hAnsi="Arial" w:cs="Arial"/>
        </w:rPr>
        <w:t xml:space="preserve">se encuentra en trámite, por lo que, es posible advertir que el área competente se encuentra desarrollando las diligencias pertinentes para determinar lo que conforme a derecho corresponda, esto es la información requerida corre agregada a un procedimiento de responsabilidad administrativa y su divulgación podría obstruir el citado procedimiento. </w:t>
      </w:r>
      <w:r w:rsidR="00C16715">
        <w:rPr>
          <w:rFonts w:ascii="Arial" w:eastAsia="Arial" w:hAnsi="Arial" w:cs="Arial"/>
        </w:rPr>
        <w:t xml:space="preserve">- - - - - - - - - </w:t>
      </w:r>
      <w:r w:rsidR="00C16715" w:rsidRPr="00C16715">
        <w:rPr>
          <w:rFonts w:ascii="Arial" w:eastAsia="Arial" w:hAnsi="Arial" w:cs="Arial"/>
        </w:rPr>
        <w:t xml:space="preserve">Ahora bien, por lo que hace a la prueba de daño prevista en el artículo </w:t>
      </w:r>
      <w:r w:rsidR="00C16715">
        <w:rPr>
          <w:rFonts w:ascii="Arial" w:eastAsia="Arial" w:hAnsi="Arial" w:cs="Arial"/>
        </w:rPr>
        <w:t>107</w:t>
      </w:r>
      <w:r w:rsidR="00C16715" w:rsidRPr="00C16715">
        <w:rPr>
          <w:rFonts w:ascii="Arial" w:eastAsia="Arial" w:hAnsi="Arial" w:cs="Arial"/>
        </w:rPr>
        <w:t xml:space="preserve"> de la Ley General de Transparencia y Acceso a la Información Pública, este cuerpo colegiado coincide con la Contraloría </w:t>
      </w:r>
      <w:r w:rsidR="00C16715">
        <w:rPr>
          <w:rFonts w:ascii="Arial" w:eastAsia="Arial" w:hAnsi="Arial" w:cs="Arial"/>
        </w:rPr>
        <w:t>General</w:t>
      </w:r>
      <w:r w:rsidR="00C16715" w:rsidRPr="00C16715">
        <w:rPr>
          <w:rFonts w:ascii="Arial" w:eastAsia="Arial" w:hAnsi="Arial" w:cs="Arial"/>
        </w:rPr>
        <w:t xml:space="preserve"> en que la difusión de la información solicitada representa un riesgo real, demostrable e identificable en perjuicio del interés público pues se trata de un procedimiento de responsabilidad administrativa que se encuentra en trámite sin que exista una resolución administrativa que le haya puesto fin.</w:t>
      </w:r>
      <w:r w:rsidR="00C16715">
        <w:rPr>
          <w:rFonts w:ascii="Arial" w:eastAsia="Arial" w:hAnsi="Arial" w:cs="Arial"/>
        </w:rPr>
        <w:t xml:space="preserve"> - - - - - - - - - - - - - - - - - - - - - - - - - - - - - - - - - - - - - - - - - - - - - - - - - - - - - </w:t>
      </w:r>
    </w:p>
    <w:p w14:paraId="3338B228" w14:textId="182676F9" w:rsidR="00C16715" w:rsidRDefault="00C16715" w:rsidP="00007541">
      <w:pPr>
        <w:autoSpaceDE w:val="0"/>
        <w:autoSpaceDN w:val="0"/>
        <w:adjustRightInd w:val="0"/>
        <w:spacing w:line="360" w:lineRule="auto"/>
        <w:mirrorIndents/>
        <w:jc w:val="both"/>
        <w:rPr>
          <w:rFonts w:ascii="Arial" w:eastAsia="Arial" w:hAnsi="Arial" w:cs="Arial"/>
        </w:rPr>
      </w:pPr>
      <w:r w:rsidRPr="00C16715">
        <w:rPr>
          <w:rFonts w:ascii="Arial" w:eastAsia="Arial" w:hAnsi="Arial" w:cs="Arial"/>
        </w:rPr>
        <w:t>Entonces, la difusión de la información solicitada en esta etapa −inconclusa al momento de dar trámite a la solicitud de acceso a la información− podría ocasionar obstrucción al procedimiento y a las etapas que las áreas competentes deben seguir para encontrarse en aptitud de emitir la resolución administrativa correspondiente.</w:t>
      </w:r>
      <w:r>
        <w:rPr>
          <w:rFonts w:ascii="Arial" w:eastAsia="Arial" w:hAnsi="Arial" w:cs="Arial"/>
        </w:rPr>
        <w:t xml:space="preserve"> - </w:t>
      </w:r>
    </w:p>
    <w:p w14:paraId="5134DBEE" w14:textId="48E4284C" w:rsidR="00C16715" w:rsidRDefault="00C16715" w:rsidP="00007541">
      <w:pPr>
        <w:autoSpaceDE w:val="0"/>
        <w:autoSpaceDN w:val="0"/>
        <w:adjustRightInd w:val="0"/>
        <w:spacing w:line="360" w:lineRule="auto"/>
        <w:mirrorIndents/>
        <w:jc w:val="both"/>
        <w:rPr>
          <w:rFonts w:ascii="Arial" w:eastAsia="Arial" w:hAnsi="Arial" w:cs="Arial"/>
        </w:rPr>
      </w:pPr>
      <w:r w:rsidRPr="00C16715">
        <w:rPr>
          <w:rFonts w:ascii="Arial" w:eastAsia="Arial" w:hAnsi="Arial" w:cs="Arial"/>
        </w:rPr>
        <w:t xml:space="preserve">Por lo anterior, el riesgo de perjuicio que representa la divulgación de la información solicitada, supera el interés público de su difusión ya que, de darse a conocer la información, terceros ajenos podrían incidir negativamente en la capacidad del área competente de agotar las etapas del procedimiento disciplinario; o bien, impedir la conducción de un procedimiento imparcial y sin injerencias, ya que el debido proceso del procedimiento podría verse trastocado, obstruyéndose así la correspondiente determinación. </w:t>
      </w:r>
      <w:r>
        <w:rPr>
          <w:rFonts w:ascii="Arial" w:eastAsia="Arial" w:hAnsi="Arial" w:cs="Arial"/>
        </w:rPr>
        <w:t xml:space="preserve">- - - - - - - - - - - - - - - - - - - - - - - - - - - - - - - - - - - - - </w:t>
      </w:r>
    </w:p>
    <w:p w14:paraId="61F951DB" w14:textId="285446F7" w:rsidR="00C16715" w:rsidRDefault="00C16715" w:rsidP="00007541">
      <w:pPr>
        <w:autoSpaceDE w:val="0"/>
        <w:autoSpaceDN w:val="0"/>
        <w:adjustRightInd w:val="0"/>
        <w:spacing w:line="360" w:lineRule="auto"/>
        <w:mirrorIndents/>
        <w:jc w:val="both"/>
        <w:rPr>
          <w:rFonts w:ascii="Arial" w:eastAsia="Arial" w:hAnsi="Arial" w:cs="Arial"/>
        </w:rPr>
      </w:pPr>
      <w:r w:rsidRPr="00C16715">
        <w:rPr>
          <w:rFonts w:ascii="Arial" w:eastAsia="Arial" w:hAnsi="Arial" w:cs="Arial"/>
        </w:rPr>
        <w:t xml:space="preserve">En efecto, este órgano colegiado coincide con lo manifestado por el área competente, en el sentido de que los servidores públicos sujetos a investigación gozan del derecho fundamental de presunción de inocencia, en tanto no se haya declarado firme la sanción que en su caso les hubiera sido impuesta. Lo anterior en observancia del criterio contenido en la tesis número P./J.43/2014, emanada del Pleno de la Suprema Corte de Justicia de la Nación, en el sentido de que debe </w:t>
      </w:r>
      <w:r w:rsidRPr="00C16715">
        <w:rPr>
          <w:rFonts w:ascii="Arial" w:eastAsia="Arial" w:hAnsi="Arial" w:cs="Arial"/>
        </w:rPr>
        <w:lastRenderedPageBreak/>
        <w:t>aplicarse dicha presunción en todo procedimiento de cuyo resultado pudiera surgir una pena o sanción.</w:t>
      </w:r>
      <w:r>
        <w:rPr>
          <w:rFonts w:ascii="Arial" w:eastAsia="Arial" w:hAnsi="Arial" w:cs="Arial"/>
        </w:rPr>
        <w:t xml:space="preserve"> - - - - - - - - - - - - - - - - - - - - - - - - - - - - - - - - - - - - - - - - - - - - - </w:t>
      </w:r>
    </w:p>
    <w:p w14:paraId="44333B9C" w14:textId="19CDBEB6" w:rsidR="00C16715" w:rsidRDefault="00C16715" w:rsidP="00007541">
      <w:pPr>
        <w:autoSpaceDE w:val="0"/>
        <w:autoSpaceDN w:val="0"/>
        <w:adjustRightInd w:val="0"/>
        <w:spacing w:line="360" w:lineRule="auto"/>
        <w:mirrorIndents/>
        <w:jc w:val="both"/>
        <w:rPr>
          <w:rFonts w:ascii="Arial" w:eastAsia="Arial" w:hAnsi="Arial" w:cs="Arial"/>
        </w:rPr>
      </w:pPr>
      <w:r w:rsidRPr="00C16715">
        <w:rPr>
          <w:rFonts w:ascii="Arial" w:eastAsia="Arial" w:hAnsi="Arial" w:cs="Arial"/>
        </w:rPr>
        <w:t>Se considera entonces que, en atención al referido principio de presunción de inocencia, éste se encuentra por encima del interés público general de conocer la información materia de la solicitud, que originaron un procedimiento que se encuentra en trámite; por lo tanto, existe un riesgo de perjuicio irreparable que pudiese superar la divulgación de los documentos de un procedimiento que se encuentra en trámite y que no ha causado estado, pues de darse a conocer la información solicitada, la imagen y el honor de las personas involucradas en los procedimientos de responsabilidad administrativa se podrían ver trastocados, generándose un daño irreparable; cuestión que no se vería subsanada con un probable fallo absolutorio en una instancia de recurso.</w:t>
      </w:r>
      <w:r>
        <w:rPr>
          <w:rFonts w:ascii="Arial" w:eastAsia="Arial" w:hAnsi="Arial" w:cs="Arial"/>
        </w:rPr>
        <w:t xml:space="preserve"> - - - - - - - - - - - - - - - - - - - - - </w:t>
      </w:r>
    </w:p>
    <w:p w14:paraId="7CFCEE58" w14:textId="506F4E0A" w:rsidR="00A84F64" w:rsidRDefault="00A84F64" w:rsidP="00007541">
      <w:pPr>
        <w:autoSpaceDE w:val="0"/>
        <w:autoSpaceDN w:val="0"/>
        <w:adjustRightInd w:val="0"/>
        <w:spacing w:line="360" w:lineRule="auto"/>
        <w:mirrorIndents/>
        <w:jc w:val="both"/>
        <w:rPr>
          <w:rFonts w:ascii="Arial" w:eastAsia="Arial" w:hAnsi="Arial" w:cs="Arial"/>
        </w:rPr>
      </w:pPr>
      <w:r w:rsidRPr="00A84F64">
        <w:rPr>
          <w:rFonts w:ascii="Arial" w:eastAsia="Arial" w:hAnsi="Arial" w:cs="Arial"/>
        </w:rPr>
        <w:t>Por ello, este Comité estima que se tienen por acreditados los requisitos establecidos por los Lineamientos Generales en Materia de Clasificación y Desclasificación de la Información para hacer efectiva la causal de clasificación que se analiza.</w:t>
      </w:r>
      <w:r w:rsidR="00C16715">
        <w:rPr>
          <w:rFonts w:ascii="Arial" w:eastAsia="Arial" w:hAnsi="Arial" w:cs="Arial"/>
        </w:rPr>
        <w:t xml:space="preserve"> - - - - - - - - - - - - - - - - - - - - - - - - - - - - - - - - - - - - - - - - - - - - - - - - - - - - </w:t>
      </w:r>
    </w:p>
    <w:p w14:paraId="67292692" w14:textId="5C9506B8" w:rsidR="00A870A4" w:rsidRDefault="00A870A4" w:rsidP="00007541">
      <w:pPr>
        <w:autoSpaceDE w:val="0"/>
        <w:autoSpaceDN w:val="0"/>
        <w:adjustRightInd w:val="0"/>
        <w:spacing w:line="360" w:lineRule="auto"/>
        <w:mirrorIndents/>
        <w:jc w:val="both"/>
        <w:rPr>
          <w:rFonts w:ascii="Arial" w:eastAsia="Arial" w:hAnsi="Arial" w:cs="Arial"/>
        </w:rPr>
      </w:pPr>
      <w:r w:rsidRPr="00A870A4">
        <w:rPr>
          <w:rFonts w:ascii="Arial" w:eastAsia="Arial" w:hAnsi="Arial" w:cs="Arial"/>
        </w:rPr>
        <w:t xml:space="preserve">Por lo antes expuesto, es de concluirse que la información aludida se encuentra en los supuestos de clasificación de reserva contenida en el artículo </w:t>
      </w:r>
      <w:r>
        <w:rPr>
          <w:rFonts w:ascii="Arial" w:eastAsia="Times New Roman" w:hAnsi="Arial" w:cs="Arial"/>
        </w:rPr>
        <w:t>54</w:t>
      </w:r>
      <w:r w:rsidRPr="00EB03AB">
        <w:rPr>
          <w:rFonts w:ascii="Arial" w:eastAsia="Times New Roman" w:hAnsi="Arial" w:cs="Arial"/>
        </w:rPr>
        <w:t xml:space="preserve"> fracci</w:t>
      </w:r>
      <w:r w:rsidR="00A84F64">
        <w:rPr>
          <w:rFonts w:ascii="Arial" w:eastAsia="Times New Roman" w:hAnsi="Arial" w:cs="Arial"/>
        </w:rPr>
        <w:t>o</w:t>
      </w:r>
      <w:r w:rsidRPr="00EB03AB">
        <w:rPr>
          <w:rFonts w:ascii="Arial" w:eastAsia="Times New Roman" w:hAnsi="Arial" w:cs="Arial"/>
        </w:rPr>
        <w:t>n</w:t>
      </w:r>
      <w:r w:rsidR="00A84F64">
        <w:rPr>
          <w:rFonts w:ascii="Arial" w:eastAsia="Times New Roman" w:hAnsi="Arial" w:cs="Arial"/>
        </w:rPr>
        <w:t>es</w:t>
      </w:r>
      <w:r w:rsidRPr="00EB03AB">
        <w:rPr>
          <w:rFonts w:ascii="Arial" w:eastAsia="Times New Roman" w:hAnsi="Arial" w:cs="Arial"/>
        </w:rPr>
        <w:t xml:space="preserve"> </w:t>
      </w:r>
      <w:r w:rsidR="00A84F64">
        <w:rPr>
          <w:rFonts w:ascii="Arial" w:eastAsia="Times New Roman" w:hAnsi="Arial" w:cs="Arial"/>
        </w:rPr>
        <w:t>X</w:t>
      </w:r>
      <w:r>
        <w:rPr>
          <w:rFonts w:ascii="Arial" w:eastAsia="Times New Roman" w:hAnsi="Arial" w:cs="Arial"/>
        </w:rPr>
        <w:t>I</w:t>
      </w:r>
      <w:r w:rsidR="00A84F64">
        <w:rPr>
          <w:rFonts w:ascii="Arial" w:eastAsia="Times New Roman" w:hAnsi="Arial" w:cs="Arial"/>
        </w:rPr>
        <w:t>, XII y XIII</w:t>
      </w:r>
      <w:r>
        <w:rPr>
          <w:rFonts w:ascii="Arial" w:eastAsia="Times New Roman" w:hAnsi="Arial" w:cs="Arial"/>
        </w:rPr>
        <w:t xml:space="preserve"> </w:t>
      </w:r>
      <w:r w:rsidRPr="00EB03AB">
        <w:rPr>
          <w:rFonts w:ascii="Arial" w:eastAsia="Times New Roman" w:hAnsi="Arial" w:cs="Arial"/>
        </w:rPr>
        <w:t xml:space="preserve">de la Ley </w:t>
      </w:r>
      <w:r>
        <w:rPr>
          <w:rFonts w:ascii="Arial" w:eastAsia="Times New Roman" w:hAnsi="Arial" w:cs="Arial"/>
        </w:rPr>
        <w:t>de</w:t>
      </w:r>
      <w:r w:rsidRPr="00EB03AB">
        <w:rPr>
          <w:rFonts w:ascii="Arial" w:eastAsia="Times New Roman" w:hAnsi="Arial" w:cs="Arial"/>
        </w:rPr>
        <w:t xml:space="preserve"> Transparencia</w:t>
      </w:r>
      <w:r>
        <w:rPr>
          <w:rFonts w:ascii="Arial" w:eastAsia="Times New Roman" w:hAnsi="Arial" w:cs="Arial"/>
        </w:rPr>
        <w:t xml:space="preserve">, </w:t>
      </w:r>
      <w:r w:rsidRPr="00EB03AB">
        <w:rPr>
          <w:rFonts w:ascii="Arial" w:eastAsia="Times New Roman" w:hAnsi="Arial" w:cs="Arial"/>
        </w:rPr>
        <w:t>Acceso a la Información Pública</w:t>
      </w:r>
      <w:r>
        <w:rPr>
          <w:rFonts w:ascii="Arial" w:eastAsia="Times New Roman" w:hAnsi="Arial" w:cs="Arial"/>
        </w:rPr>
        <w:t xml:space="preserve"> y Buen Gobierno del Estado de Oaxaca</w:t>
      </w:r>
      <w:r w:rsidRPr="00A870A4">
        <w:rPr>
          <w:rFonts w:ascii="Arial" w:eastAsia="Arial" w:hAnsi="Arial" w:cs="Arial"/>
        </w:rPr>
        <w:t xml:space="preserve">, por lo que este Comité de Transparencia considera conducente confirmar la clasificación como información reservada. </w:t>
      </w:r>
      <w:r>
        <w:rPr>
          <w:rFonts w:ascii="Arial" w:eastAsia="Arial" w:hAnsi="Arial" w:cs="Arial"/>
        </w:rPr>
        <w:t xml:space="preserve">- - - - </w:t>
      </w:r>
    </w:p>
    <w:p w14:paraId="2636D2ED" w14:textId="0023C5D3" w:rsidR="00C16715" w:rsidRDefault="00F71E7D" w:rsidP="00007541">
      <w:pPr>
        <w:autoSpaceDE w:val="0"/>
        <w:autoSpaceDN w:val="0"/>
        <w:adjustRightInd w:val="0"/>
        <w:spacing w:line="360" w:lineRule="auto"/>
        <w:mirrorIndents/>
        <w:jc w:val="both"/>
        <w:rPr>
          <w:rFonts w:ascii="Arial" w:eastAsia="Arial" w:hAnsi="Arial" w:cs="Arial"/>
        </w:rPr>
      </w:pPr>
      <w:r>
        <w:rPr>
          <w:rFonts w:ascii="Arial" w:eastAsia="Arial" w:hAnsi="Arial" w:cs="Arial"/>
          <w:b/>
          <w:bCs/>
        </w:rPr>
        <w:t>SÉPTIMO.</w:t>
      </w:r>
      <w:r w:rsidR="00C16715">
        <w:rPr>
          <w:rFonts w:ascii="Arial" w:eastAsia="Arial" w:hAnsi="Arial" w:cs="Arial"/>
          <w:b/>
          <w:bCs/>
        </w:rPr>
        <w:t xml:space="preserve"> </w:t>
      </w:r>
      <w:r w:rsidR="00C16715">
        <w:rPr>
          <w:rFonts w:ascii="Arial" w:eastAsia="Arial" w:hAnsi="Arial" w:cs="Arial"/>
        </w:rPr>
        <w:t>Por otra parte, a</w:t>
      </w:r>
      <w:r w:rsidR="00A870A4" w:rsidRPr="00A870A4">
        <w:rPr>
          <w:rFonts w:ascii="Arial" w:eastAsia="Arial" w:hAnsi="Arial" w:cs="Arial"/>
        </w:rPr>
        <w:t xml:space="preserve">tendiendo que los numerales </w:t>
      </w:r>
      <w:r w:rsidR="00C16715">
        <w:rPr>
          <w:rFonts w:ascii="Arial" w:eastAsia="Arial" w:hAnsi="Arial" w:cs="Arial"/>
        </w:rPr>
        <w:t>104</w:t>
      </w:r>
      <w:r w:rsidR="00A870A4" w:rsidRPr="00A870A4">
        <w:rPr>
          <w:rFonts w:ascii="Arial" w:eastAsia="Arial" w:hAnsi="Arial" w:cs="Arial"/>
        </w:rPr>
        <w:t xml:space="preserve">, segundo párrafo y </w:t>
      </w:r>
      <w:r w:rsidR="00C16715">
        <w:rPr>
          <w:rFonts w:ascii="Arial" w:eastAsia="Arial" w:hAnsi="Arial" w:cs="Arial"/>
        </w:rPr>
        <w:t>106</w:t>
      </w:r>
      <w:r w:rsidR="00A870A4" w:rsidRPr="00A870A4">
        <w:rPr>
          <w:rFonts w:ascii="Arial" w:eastAsia="Arial" w:hAnsi="Arial" w:cs="Arial"/>
        </w:rPr>
        <w:t>, último párrafo de la Ley General de Transparencia y Acceso a la Información Pública</w:t>
      </w:r>
      <w:r w:rsidR="00A870A4">
        <w:rPr>
          <w:rFonts w:ascii="Arial" w:eastAsia="Arial" w:hAnsi="Arial" w:cs="Arial"/>
        </w:rPr>
        <w:t xml:space="preserve">, </w:t>
      </w:r>
      <w:r w:rsidR="00A870A4" w:rsidRPr="00A870A4">
        <w:rPr>
          <w:rFonts w:ascii="Arial" w:eastAsia="Arial" w:hAnsi="Arial" w:cs="Arial"/>
        </w:rPr>
        <w:t>establecen que en aquellos casos en que se clasifique información como reservada deberá señalarse el plazo de dicha clasificación, el cual podrá ser hasta por un periodo de cinco años</w:t>
      </w:r>
      <w:r w:rsidR="00C16715">
        <w:rPr>
          <w:rFonts w:ascii="Arial" w:eastAsia="Arial" w:hAnsi="Arial" w:cs="Arial"/>
        </w:rPr>
        <w:t xml:space="preserve">. - - - - - - - - - - - - - - - - - - - - - - - - - - - - - - - - - - - - - - - </w:t>
      </w:r>
    </w:p>
    <w:p w14:paraId="56EBF715" w14:textId="1B977E5C" w:rsidR="000C5A40" w:rsidRPr="00A870A4" w:rsidRDefault="00C16715" w:rsidP="00007541">
      <w:pPr>
        <w:autoSpaceDE w:val="0"/>
        <w:autoSpaceDN w:val="0"/>
        <w:adjustRightInd w:val="0"/>
        <w:spacing w:line="360" w:lineRule="auto"/>
        <w:mirrorIndents/>
        <w:jc w:val="both"/>
        <w:rPr>
          <w:rFonts w:ascii="Arial" w:eastAsia="Arial" w:hAnsi="Arial" w:cs="Arial"/>
        </w:rPr>
      </w:pPr>
      <w:r>
        <w:rPr>
          <w:rFonts w:ascii="Arial" w:eastAsia="Arial" w:hAnsi="Arial" w:cs="Arial"/>
        </w:rPr>
        <w:t>E</w:t>
      </w:r>
      <w:r w:rsidR="00A870A4" w:rsidRPr="00A870A4">
        <w:rPr>
          <w:rFonts w:ascii="Arial" w:eastAsia="Arial" w:hAnsi="Arial" w:cs="Arial"/>
        </w:rPr>
        <w:t xml:space="preserve">ste Comité de Transparencia considera que la información requerida deberá permanecer como reservada por un periodo de </w:t>
      </w:r>
      <w:r w:rsidR="00A870A4" w:rsidRPr="00A870A4">
        <w:rPr>
          <w:rFonts w:ascii="Arial" w:eastAsia="Arial" w:hAnsi="Arial" w:cs="Arial"/>
          <w:b/>
          <w:bCs/>
        </w:rPr>
        <w:t>5 años</w:t>
      </w:r>
      <w:r w:rsidR="00A870A4" w:rsidRPr="00A870A4">
        <w:rPr>
          <w:rFonts w:ascii="Arial" w:eastAsia="Arial" w:hAnsi="Arial" w:cs="Arial"/>
        </w:rPr>
        <w:t>.</w:t>
      </w:r>
      <w:r w:rsidR="00A870A4">
        <w:rPr>
          <w:rFonts w:ascii="Arial" w:eastAsia="Arial" w:hAnsi="Arial" w:cs="Arial"/>
        </w:rPr>
        <w:t xml:space="preserve"> </w:t>
      </w:r>
      <w:r w:rsidR="00020D25">
        <w:rPr>
          <w:rFonts w:ascii="Arial" w:eastAsia="Arial" w:hAnsi="Arial" w:cs="Arial"/>
        </w:rPr>
        <w:t xml:space="preserve">- - - - - - - - - - - - - - - - - - - - </w:t>
      </w:r>
      <w:r w:rsidRPr="00C16715">
        <w:rPr>
          <w:rFonts w:ascii="Arial" w:eastAsia="Arial" w:hAnsi="Arial" w:cs="Arial"/>
        </w:rPr>
        <w:t xml:space="preserve">No obstante, esta información podrá desclasificarse en caso de que se actualice alguno de los supuestos previstos en el artículo </w:t>
      </w:r>
      <w:r>
        <w:rPr>
          <w:rFonts w:ascii="Arial" w:eastAsia="Arial" w:hAnsi="Arial" w:cs="Arial"/>
        </w:rPr>
        <w:t>104</w:t>
      </w:r>
      <w:r w:rsidRPr="00C16715">
        <w:rPr>
          <w:rFonts w:ascii="Arial" w:eastAsia="Arial" w:hAnsi="Arial" w:cs="Arial"/>
        </w:rPr>
        <w:t xml:space="preserve"> de la Ley General en cita, entre éstos, cuando se extingan las causas que dieron origen a su clasificación; es decir, en el momento en que se emita la resolución correspondiente, situación que deberá hacerse del conocimiento del solicitante.</w:t>
      </w:r>
      <w:r>
        <w:rPr>
          <w:rFonts w:ascii="Arial" w:eastAsia="Arial" w:hAnsi="Arial" w:cs="Arial"/>
        </w:rPr>
        <w:t xml:space="preserve"> - - - - - - - - - - - - - - - - - - - - - - - - - - - - - - - </w:t>
      </w:r>
    </w:p>
    <w:p w14:paraId="7184391A" w14:textId="1DD75A81" w:rsidR="000C5A40" w:rsidRPr="00C16715" w:rsidRDefault="000C5A40" w:rsidP="00007541">
      <w:pPr>
        <w:spacing w:line="360" w:lineRule="auto"/>
        <w:jc w:val="both"/>
        <w:rPr>
          <w:rFonts w:ascii="Arial" w:hAnsi="Arial" w:cs="Arial"/>
          <w:lang w:eastAsia="es-MX"/>
        </w:rPr>
      </w:pPr>
      <w:r w:rsidRPr="009B5CA2">
        <w:rPr>
          <w:rFonts w:ascii="Arial" w:eastAsia="Times New Roman" w:hAnsi="Arial" w:cs="Arial"/>
          <w:lang w:val="es-ES_tradnl"/>
        </w:rPr>
        <w:t xml:space="preserve">Por los razonamientos </w:t>
      </w:r>
      <w:r w:rsidR="009B5CA2" w:rsidRPr="009B5CA2">
        <w:rPr>
          <w:rFonts w:ascii="Arial" w:eastAsia="Times New Roman" w:hAnsi="Arial" w:cs="Arial"/>
          <w:lang w:val="es-ES_tradnl"/>
        </w:rPr>
        <w:t xml:space="preserve">fácticos y jurídicos </w:t>
      </w:r>
      <w:r w:rsidR="008C0E0F" w:rsidRPr="009B5CA2">
        <w:rPr>
          <w:rFonts w:ascii="Arial" w:eastAsia="Times New Roman" w:hAnsi="Arial" w:cs="Arial"/>
          <w:lang w:val="es-ES_tradnl"/>
        </w:rPr>
        <w:t>anteriormente</w:t>
      </w:r>
      <w:r w:rsidR="009B5CA2" w:rsidRPr="009B5CA2">
        <w:rPr>
          <w:rFonts w:ascii="Arial" w:eastAsia="Times New Roman" w:hAnsi="Arial" w:cs="Arial"/>
          <w:lang w:val="es-ES_tradnl"/>
        </w:rPr>
        <w:t xml:space="preserve"> expuestos</w:t>
      </w:r>
      <w:r w:rsidR="008C0E0F" w:rsidRPr="009B5CA2">
        <w:rPr>
          <w:rFonts w:ascii="Arial" w:eastAsia="Times New Roman" w:hAnsi="Arial" w:cs="Arial"/>
          <w:lang w:val="es-ES_tradnl"/>
        </w:rPr>
        <w:t xml:space="preserve">, </w:t>
      </w:r>
      <w:r w:rsidRPr="009B5CA2">
        <w:rPr>
          <w:rFonts w:ascii="Arial" w:eastAsia="Times New Roman" w:hAnsi="Arial" w:cs="Arial"/>
          <w:lang w:val="es-ES_tradnl"/>
        </w:rPr>
        <w:t xml:space="preserve">el Comité de Transparencia del </w:t>
      </w:r>
      <w:r w:rsidRPr="009B5CA2">
        <w:rPr>
          <w:rFonts w:ascii="Arial" w:eastAsia="Calibri" w:hAnsi="Arial" w:cs="Arial"/>
        </w:rPr>
        <w:t>Órgano Garante de Acceso a la Información Pública, Transparencia, Protección de Datos Personales y Buen Gobierno del Estado de Oaxaca</w:t>
      </w:r>
      <w:r w:rsidRPr="009B5CA2">
        <w:rPr>
          <w:rFonts w:ascii="Arial" w:eastAsia="Times New Roman" w:hAnsi="Arial" w:cs="Arial"/>
          <w:lang w:val="es-ES_tradnl"/>
        </w:rPr>
        <w:t xml:space="preserve">, determina lo siguiente: - - - - - - - - - - - </w:t>
      </w:r>
      <w:r w:rsidR="00237254" w:rsidRPr="009B5CA2">
        <w:rPr>
          <w:rFonts w:ascii="Arial" w:eastAsia="Times New Roman" w:hAnsi="Arial" w:cs="Arial"/>
          <w:lang w:val="es-ES_tradnl"/>
        </w:rPr>
        <w:t xml:space="preserve">- - - - - - - - - - - - - - - - - - </w:t>
      </w:r>
      <w:r w:rsidRPr="009B5CA2">
        <w:rPr>
          <w:rFonts w:ascii="Arial" w:eastAsia="Times New Roman" w:hAnsi="Arial" w:cs="Arial"/>
          <w:lang w:val="es-ES_tradnl"/>
        </w:rPr>
        <w:t xml:space="preserve">- - - - - - - - </w:t>
      </w:r>
    </w:p>
    <w:p w14:paraId="788F9A92" w14:textId="77777777" w:rsidR="000C5A40" w:rsidRPr="009B5CA2" w:rsidRDefault="000C5A40" w:rsidP="00007541">
      <w:pPr>
        <w:spacing w:line="360" w:lineRule="auto"/>
        <w:jc w:val="center"/>
        <w:rPr>
          <w:rFonts w:ascii="Arial" w:eastAsia="Times New Roman" w:hAnsi="Arial" w:cs="Arial"/>
          <w:b/>
          <w:lang w:val="es-ES_tradnl"/>
        </w:rPr>
      </w:pPr>
      <w:r w:rsidRPr="009B5CA2">
        <w:rPr>
          <w:rFonts w:ascii="Arial" w:eastAsia="Times New Roman" w:hAnsi="Arial" w:cs="Arial"/>
          <w:b/>
          <w:lang w:val="es-ES_tradnl"/>
        </w:rPr>
        <w:lastRenderedPageBreak/>
        <w:t>ACUERDO:</w:t>
      </w:r>
    </w:p>
    <w:p w14:paraId="3829C442" w14:textId="77777777" w:rsidR="000C5A40" w:rsidRPr="009B5CA2" w:rsidRDefault="000C5A40" w:rsidP="00007541">
      <w:pPr>
        <w:spacing w:line="360" w:lineRule="auto"/>
        <w:jc w:val="both"/>
        <w:rPr>
          <w:rFonts w:ascii="Arial" w:eastAsia="Times New Roman" w:hAnsi="Arial" w:cs="Arial"/>
          <w:b/>
          <w:lang w:val="es-ES_tradnl"/>
        </w:rPr>
      </w:pPr>
    </w:p>
    <w:p w14:paraId="355ADD23" w14:textId="59EB4C40" w:rsidR="000C5A40" w:rsidRPr="009B5CA2" w:rsidRDefault="000C5A40" w:rsidP="00007541">
      <w:pPr>
        <w:pStyle w:val="Sinespaciado"/>
        <w:spacing w:line="360" w:lineRule="auto"/>
        <w:jc w:val="both"/>
        <w:rPr>
          <w:rFonts w:ascii="Arial" w:hAnsi="Arial" w:cs="Arial"/>
        </w:rPr>
      </w:pPr>
      <w:r w:rsidRPr="009B5CA2">
        <w:rPr>
          <w:rFonts w:ascii="Arial" w:eastAsia="Times New Roman" w:hAnsi="Arial" w:cs="Arial"/>
          <w:b/>
          <w:lang w:val="es-ES_tradnl"/>
        </w:rPr>
        <w:t xml:space="preserve">PRIMERO: </w:t>
      </w:r>
      <w:r w:rsidRPr="009B5CA2">
        <w:rPr>
          <w:rFonts w:ascii="Arial" w:eastAsia="Times New Roman" w:hAnsi="Arial" w:cs="Arial"/>
          <w:bCs/>
          <w:lang w:val="es-ES_tradnl"/>
        </w:rPr>
        <w:t xml:space="preserve">Se </w:t>
      </w:r>
      <w:r w:rsidRPr="009B5CA2">
        <w:rPr>
          <w:rFonts w:ascii="Arial" w:eastAsia="Times New Roman" w:hAnsi="Arial" w:cs="Arial"/>
          <w:b/>
          <w:bCs/>
          <w:lang w:val="es-ES_tradnl"/>
        </w:rPr>
        <w:t xml:space="preserve">CONFIRMA </w:t>
      </w:r>
      <w:r w:rsidRPr="009B5CA2">
        <w:rPr>
          <w:rFonts w:ascii="Arial" w:eastAsia="DotumChe" w:hAnsi="Arial" w:cs="Arial"/>
          <w:lang w:val="es-ES_tradnl" w:eastAsia="es-MX"/>
        </w:rPr>
        <w:t xml:space="preserve">la declaratoria de </w:t>
      </w:r>
      <w:r w:rsidR="00A870A4">
        <w:rPr>
          <w:rFonts w:ascii="Arial" w:eastAsia="DotumChe" w:hAnsi="Arial" w:cs="Arial"/>
          <w:lang w:val="es-ES_tradnl" w:eastAsia="es-MX"/>
        </w:rPr>
        <w:t>clasificación</w:t>
      </w:r>
      <w:r w:rsidRPr="009B5CA2">
        <w:rPr>
          <w:rFonts w:ascii="Arial" w:eastAsia="DotumChe" w:hAnsi="Arial" w:cs="Arial"/>
          <w:lang w:val="es-ES_tradnl" w:eastAsia="es-MX"/>
        </w:rPr>
        <w:t xml:space="preserve"> de información </w:t>
      </w:r>
      <w:r w:rsidR="00A870A4">
        <w:rPr>
          <w:rFonts w:ascii="Arial" w:eastAsia="DotumChe" w:hAnsi="Arial" w:cs="Arial"/>
          <w:lang w:val="es-ES_tradnl" w:eastAsia="es-MX"/>
        </w:rPr>
        <w:t xml:space="preserve">como reservada </w:t>
      </w:r>
      <w:r w:rsidRPr="009B5CA2">
        <w:rPr>
          <w:rFonts w:ascii="Arial" w:eastAsia="DotumChe" w:hAnsi="Arial" w:cs="Arial"/>
          <w:lang w:val="es-ES_tradnl" w:eastAsia="es-MX"/>
        </w:rPr>
        <w:t xml:space="preserve">que emite la </w:t>
      </w:r>
      <w:r w:rsidR="00C16715">
        <w:rPr>
          <w:rFonts w:ascii="Arial" w:eastAsia="Times New Roman" w:hAnsi="Arial" w:cs="Arial"/>
          <w:bCs/>
          <w:color w:val="000000"/>
          <w:lang w:eastAsia="es-MX"/>
        </w:rPr>
        <w:t>Contraloría General</w:t>
      </w:r>
      <w:r w:rsidRPr="009B5CA2">
        <w:rPr>
          <w:rFonts w:ascii="Arial" w:eastAsia="Times New Roman" w:hAnsi="Arial" w:cs="Arial"/>
          <w:lang w:val="es-ES_tradnl"/>
        </w:rPr>
        <w:t xml:space="preserve"> </w:t>
      </w:r>
      <w:r w:rsidRPr="009B5CA2">
        <w:rPr>
          <w:rFonts w:ascii="Arial" w:eastAsia="DotumChe" w:hAnsi="Arial" w:cs="Arial"/>
          <w:lang w:val="es-ES_tradnl" w:eastAsia="es-MX"/>
        </w:rPr>
        <w:t xml:space="preserve">del </w:t>
      </w:r>
      <w:r w:rsidRPr="009B5CA2">
        <w:rPr>
          <w:rFonts w:ascii="Arial" w:eastAsia="Calibri" w:hAnsi="Arial" w:cs="Arial"/>
        </w:rPr>
        <w:t xml:space="preserve">Órgano Garante de Acceso a la Información Pública, Transparencia, Protección de Datos Personales y Buen Gobierno del Estado de Oaxaca, </w:t>
      </w:r>
      <w:r w:rsidR="008C0E0F" w:rsidRPr="009B5CA2">
        <w:rPr>
          <w:rFonts w:ascii="Arial" w:hAnsi="Arial" w:cs="Arial"/>
        </w:rPr>
        <w:t>respecto de la</w:t>
      </w:r>
      <w:r w:rsidR="00646D7C">
        <w:rPr>
          <w:rFonts w:ascii="Arial" w:hAnsi="Arial" w:cs="Arial"/>
        </w:rPr>
        <w:t xml:space="preserve"> </w:t>
      </w:r>
      <w:r w:rsidR="008C0E0F" w:rsidRPr="009B5CA2">
        <w:rPr>
          <w:rFonts w:ascii="Arial" w:hAnsi="Arial" w:cs="Arial"/>
        </w:rPr>
        <w:t xml:space="preserve">solicitud de acceso a la información pública con número de folio </w:t>
      </w:r>
      <w:r w:rsidR="00C16715" w:rsidRPr="00C16715">
        <w:rPr>
          <w:rFonts w:ascii="Arial" w:hAnsi="Arial" w:cs="Arial"/>
          <w:b/>
          <w:bCs/>
        </w:rPr>
        <w:t>202728525000197</w:t>
      </w:r>
      <w:r w:rsidRPr="009B5CA2">
        <w:rPr>
          <w:rFonts w:ascii="Arial" w:hAnsi="Arial" w:cs="Arial"/>
        </w:rPr>
        <w:t xml:space="preserve">. - - - - - - - - </w:t>
      </w:r>
      <w:r w:rsidR="00646D7C" w:rsidRPr="009B5CA2">
        <w:rPr>
          <w:rFonts w:ascii="Arial" w:eastAsia="Times New Roman" w:hAnsi="Arial" w:cs="Arial"/>
          <w:lang w:val="es-ES_tradnl"/>
        </w:rPr>
        <w:t xml:space="preserve">- - - - - - - - - - - - - - - - - - </w:t>
      </w:r>
    </w:p>
    <w:p w14:paraId="79E2544A" w14:textId="2C8A62CB" w:rsidR="000C5A40" w:rsidRPr="00C16715" w:rsidRDefault="000C5A40" w:rsidP="00007541">
      <w:pPr>
        <w:pStyle w:val="Sinespaciado"/>
        <w:spacing w:line="360" w:lineRule="auto"/>
        <w:jc w:val="both"/>
        <w:rPr>
          <w:rFonts w:ascii="Arial" w:hAnsi="Arial" w:cs="Arial"/>
        </w:rPr>
      </w:pPr>
      <w:r w:rsidRPr="009B5CA2">
        <w:rPr>
          <w:rFonts w:ascii="Arial" w:hAnsi="Arial" w:cs="Arial"/>
          <w:b/>
          <w:lang w:val="es-ES_tradnl"/>
        </w:rPr>
        <w:t>SEGUNDO:</w:t>
      </w:r>
      <w:r w:rsidRPr="009B5CA2">
        <w:rPr>
          <w:rFonts w:ascii="Arial" w:hAnsi="Arial" w:cs="Arial"/>
          <w:lang w:val="es-ES_tradnl"/>
        </w:rPr>
        <w:t xml:space="preserve"> </w:t>
      </w:r>
      <w:r w:rsidRPr="009B5CA2">
        <w:rPr>
          <w:rFonts w:ascii="Arial" w:eastAsia="Times New Roman" w:hAnsi="Arial" w:cs="Arial"/>
          <w:lang w:val="es-ES_tradnl"/>
        </w:rPr>
        <w:t xml:space="preserve">Se instruye a la Secretaría Ejecutiva del Comité de Transparencia del </w:t>
      </w:r>
      <w:r w:rsidRPr="009B5CA2">
        <w:rPr>
          <w:rFonts w:ascii="Arial" w:eastAsia="Calibri" w:hAnsi="Arial" w:cs="Arial"/>
        </w:rPr>
        <w:t>Órgano Garante de Acceso a la Información Pública, Transparencia, Protección de Datos Personales y Buen Gobierno del Estado de Oaxaca</w:t>
      </w:r>
      <w:r w:rsidRPr="009B5CA2">
        <w:rPr>
          <w:rFonts w:ascii="Arial" w:eastAsia="Times New Roman" w:hAnsi="Arial" w:cs="Arial"/>
          <w:lang w:val="es-ES_tradnl"/>
        </w:rPr>
        <w:t xml:space="preserve">, notifique a la </w:t>
      </w:r>
      <w:r w:rsidR="00C16715">
        <w:rPr>
          <w:rFonts w:ascii="Arial" w:eastAsia="Times New Roman" w:hAnsi="Arial" w:cs="Arial"/>
          <w:lang w:val="es-ES_tradnl"/>
        </w:rPr>
        <w:t>Contraloría General</w:t>
      </w:r>
      <w:r w:rsidRPr="009B5CA2">
        <w:rPr>
          <w:rFonts w:ascii="Arial" w:eastAsia="Times New Roman" w:hAnsi="Arial" w:cs="Arial"/>
          <w:lang w:val="es-ES_tradnl"/>
        </w:rPr>
        <w:t xml:space="preserve"> del Órgano Garante, las determinaciones dictadas por este Órgano Colegiado para los efectos correspondientes. - - - - - - - - </w:t>
      </w:r>
      <w:r w:rsidR="00C16715" w:rsidRPr="009B5CA2">
        <w:rPr>
          <w:rFonts w:ascii="Arial" w:hAnsi="Arial" w:cs="Arial"/>
        </w:rPr>
        <w:t xml:space="preserve">- - - - - - </w:t>
      </w:r>
      <w:r w:rsidR="00C16715" w:rsidRPr="009B5CA2">
        <w:rPr>
          <w:rFonts w:ascii="Arial" w:eastAsia="Times New Roman" w:hAnsi="Arial" w:cs="Arial"/>
          <w:lang w:val="es-ES_tradnl"/>
        </w:rPr>
        <w:t xml:space="preserve">- - - - - - - - - - - - - </w:t>
      </w:r>
    </w:p>
    <w:p w14:paraId="7AC88D25" w14:textId="249C2BE0" w:rsidR="000C5A40" w:rsidRPr="009B5CA2" w:rsidRDefault="000C5A40" w:rsidP="00007541">
      <w:pPr>
        <w:pStyle w:val="Sinespaciado"/>
        <w:spacing w:line="360" w:lineRule="auto"/>
        <w:jc w:val="both"/>
        <w:rPr>
          <w:rFonts w:ascii="Arial" w:hAnsi="Arial" w:cs="Arial"/>
          <w:lang w:val="es-ES_tradnl"/>
        </w:rPr>
      </w:pPr>
      <w:r w:rsidRPr="009B5CA2">
        <w:rPr>
          <w:rFonts w:ascii="Arial" w:hAnsi="Arial" w:cs="Arial"/>
          <w:b/>
          <w:lang w:val="es-ES_tradnl"/>
        </w:rPr>
        <w:t>TERCERO:</w:t>
      </w:r>
      <w:r w:rsidRPr="009B5CA2">
        <w:rPr>
          <w:rFonts w:ascii="Arial" w:hAnsi="Arial" w:cs="Arial"/>
          <w:lang w:val="es-ES_tradnl"/>
        </w:rPr>
        <w:t xml:space="preserve"> Se instruye a la Secretaría Ejecutiva del Comité de Transparencia del </w:t>
      </w:r>
      <w:r w:rsidRPr="009B5CA2">
        <w:rPr>
          <w:rFonts w:ascii="Arial" w:eastAsia="Calibri" w:hAnsi="Arial" w:cs="Arial"/>
        </w:rPr>
        <w:t>Órgano Garante de Acceso a la Información Pública, Transparencia, Protección de Datos Personales y Buen Gobierno</w:t>
      </w:r>
      <w:r w:rsidRPr="009B5CA2">
        <w:rPr>
          <w:rFonts w:ascii="Arial" w:hAnsi="Arial" w:cs="Arial"/>
          <w:lang w:val="es-ES_tradnl"/>
        </w:rPr>
        <w:t xml:space="preserve">, para que el presente acuerdo se publique y actualice de acuerdo con la fracción XXXIX del artículo 70 de la </w:t>
      </w:r>
      <w:r w:rsidRPr="009B5CA2">
        <w:rPr>
          <w:rFonts w:ascii="Arial" w:eastAsia="Times New Roman" w:hAnsi="Arial" w:cs="Arial"/>
          <w:lang w:val="es-ES_tradnl"/>
        </w:rPr>
        <w:t>Ley General de Transparencia y Acceso a la Información Pública</w:t>
      </w:r>
      <w:r w:rsidRPr="009B5CA2">
        <w:rPr>
          <w:rFonts w:ascii="Arial" w:hAnsi="Arial" w:cs="Arial"/>
          <w:lang w:val="es-ES_tradnl"/>
        </w:rPr>
        <w:t xml:space="preserve"> en los sistemas electrónicos correspondientes. - - - - - - - - - - - - - - - - - - - - - - - - - - - - - - - - - - - - - -</w:t>
      </w:r>
      <w:r w:rsidR="0098705B">
        <w:rPr>
          <w:rFonts w:ascii="Arial" w:hAnsi="Arial" w:cs="Arial"/>
          <w:lang w:val="es-ES_tradnl"/>
        </w:rPr>
        <w:t xml:space="preserve"> </w:t>
      </w:r>
      <w:r w:rsidR="0098705B" w:rsidRPr="009B5CA2">
        <w:rPr>
          <w:rFonts w:ascii="Arial" w:hAnsi="Arial" w:cs="Arial"/>
          <w:lang w:val="es-ES_tradnl"/>
        </w:rPr>
        <w:t xml:space="preserve">- - - - - - - - - </w:t>
      </w:r>
    </w:p>
    <w:p w14:paraId="7ADBC4CA" w14:textId="5028DD0C" w:rsidR="000C5A40" w:rsidRPr="009B5CA2" w:rsidRDefault="000C5A40" w:rsidP="00007541">
      <w:pPr>
        <w:widowControl w:val="0"/>
        <w:autoSpaceDE w:val="0"/>
        <w:autoSpaceDN w:val="0"/>
        <w:adjustRightInd w:val="0"/>
        <w:spacing w:line="360" w:lineRule="auto"/>
        <w:jc w:val="both"/>
        <w:rPr>
          <w:rFonts w:ascii="Arial" w:eastAsia="Times New Roman" w:hAnsi="Arial" w:cs="Arial"/>
          <w:lang w:val="es-ES_tradnl"/>
        </w:rPr>
      </w:pPr>
      <w:r w:rsidRPr="009B5CA2">
        <w:rPr>
          <w:rFonts w:ascii="Arial" w:hAnsi="Arial" w:cs="Arial"/>
        </w:rPr>
        <w:t>Así lo acordaron, por unanimidad de votos,</w:t>
      </w:r>
      <w:r w:rsidR="008C0E0F" w:rsidRPr="009B5CA2">
        <w:rPr>
          <w:rFonts w:ascii="Arial" w:hAnsi="Arial" w:cs="Arial"/>
        </w:rPr>
        <w:t xml:space="preserve"> l</w:t>
      </w:r>
      <w:r w:rsidRPr="009B5CA2">
        <w:rPr>
          <w:rFonts w:ascii="Arial" w:hAnsi="Arial" w:cs="Arial"/>
        </w:rPr>
        <w:t xml:space="preserve">os integrantes del Comité de Transparencia del </w:t>
      </w:r>
      <w:r w:rsidRPr="009B5CA2">
        <w:rPr>
          <w:rFonts w:ascii="Arial" w:eastAsia="Calibri" w:hAnsi="Arial" w:cs="Arial"/>
        </w:rPr>
        <w:t>Órgano Garante de Acceso a la Información Pública, Transparencia, Protección de Datos Personales y Buen Gobierno del Estado de Oaxaca,</w:t>
      </w:r>
      <w:r w:rsidRPr="009B5CA2">
        <w:rPr>
          <w:rFonts w:ascii="Arial" w:hAnsi="Arial" w:cs="Arial"/>
        </w:rPr>
        <w:t xml:space="preserve"> asistidos por el Secretario Ejecutivo del mismo órgano colegiado y la vigilancia del Comisario, firmando al calce y margen los que intervinieron en este acto, en la </w:t>
      </w:r>
      <w:r w:rsidR="00DD4AAB" w:rsidRPr="009B5CA2">
        <w:rPr>
          <w:rFonts w:ascii="Arial" w:hAnsi="Arial" w:cs="Arial"/>
        </w:rPr>
        <w:t>C</w:t>
      </w:r>
      <w:r w:rsidRPr="009B5CA2">
        <w:rPr>
          <w:rFonts w:ascii="Arial" w:hAnsi="Arial" w:cs="Arial"/>
        </w:rPr>
        <w:t xml:space="preserve">iudad de Oaxaca de Juárez, Oaxaca, mediante la </w:t>
      </w:r>
      <w:r w:rsidR="00007541">
        <w:rPr>
          <w:rFonts w:ascii="Arial" w:hAnsi="Arial" w:cs="Arial"/>
        </w:rPr>
        <w:t>Novena</w:t>
      </w:r>
      <w:r w:rsidRPr="009B5CA2">
        <w:rPr>
          <w:rFonts w:ascii="Arial" w:hAnsi="Arial" w:cs="Arial"/>
        </w:rPr>
        <w:t xml:space="preserve"> Sesión </w:t>
      </w:r>
      <w:r w:rsidR="00007541">
        <w:rPr>
          <w:rFonts w:ascii="Arial" w:hAnsi="Arial" w:cs="Arial"/>
        </w:rPr>
        <w:t>Extrao</w:t>
      </w:r>
      <w:r w:rsidRPr="009B5CA2">
        <w:rPr>
          <w:rFonts w:ascii="Arial" w:hAnsi="Arial" w:cs="Arial"/>
        </w:rPr>
        <w:t xml:space="preserve">rdinaria </w:t>
      </w:r>
      <w:r w:rsidR="000F0C77">
        <w:rPr>
          <w:rFonts w:ascii="Arial" w:hAnsi="Arial" w:cs="Arial"/>
        </w:rPr>
        <w:t xml:space="preserve">2025 </w:t>
      </w:r>
      <w:r w:rsidRPr="009B5CA2">
        <w:rPr>
          <w:rFonts w:ascii="Arial" w:hAnsi="Arial" w:cs="Arial"/>
        </w:rPr>
        <w:t xml:space="preserve">del Comité de Transparencia, celebrada el </w:t>
      </w:r>
      <w:r w:rsidR="00007541">
        <w:rPr>
          <w:rFonts w:ascii="Arial" w:hAnsi="Arial" w:cs="Arial"/>
        </w:rPr>
        <w:t>tres</w:t>
      </w:r>
      <w:r w:rsidRPr="009B5CA2">
        <w:rPr>
          <w:rFonts w:ascii="Arial" w:hAnsi="Arial" w:cs="Arial"/>
        </w:rPr>
        <w:t xml:space="preserve"> de </w:t>
      </w:r>
      <w:r w:rsidR="00007541">
        <w:rPr>
          <w:rFonts w:ascii="Arial" w:hAnsi="Arial" w:cs="Arial"/>
        </w:rPr>
        <w:t xml:space="preserve">octubre </w:t>
      </w:r>
      <w:r w:rsidRPr="009B5CA2">
        <w:rPr>
          <w:rFonts w:ascii="Arial" w:hAnsi="Arial" w:cs="Arial"/>
        </w:rPr>
        <w:t>del dos mil veintic</w:t>
      </w:r>
      <w:r w:rsidR="00DD4AAB" w:rsidRPr="009B5CA2">
        <w:rPr>
          <w:rFonts w:ascii="Arial" w:hAnsi="Arial" w:cs="Arial"/>
        </w:rPr>
        <w:t>inco</w:t>
      </w:r>
      <w:r w:rsidRPr="009B5CA2">
        <w:rPr>
          <w:rFonts w:ascii="Arial" w:hAnsi="Arial" w:cs="Arial"/>
        </w:rPr>
        <w:t xml:space="preserve"> para los efectos a que haya lugar. </w:t>
      </w:r>
      <w:r w:rsidRPr="009B5CA2">
        <w:rPr>
          <w:rFonts w:ascii="Arial" w:hAnsi="Arial" w:cs="Arial"/>
          <w:b/>
        </w:rPr>
        <w:t>CONSTE.</w:t>
      </w:r>
      <w:r w:rsidRPr="009B5CA2">
        <w:rPr>
          <w:rFonts w:ascii="Arial" w:hAnsi="Arial" w:cs="Arial"/>
        </w:rPr>
        <w:t xml:space="preserve"> - - - - </w:t>
      </w:r>
      <w:r w:rsidR="00DD4AAB" w:rsidRPr="009B5CA2">
        <w:rPr>
          <w:rFonts w:ascii="Arial" w:hAnsi="Arial" w:cs="Arial"/>
        </w:rPr>
        <w:t xml:space="preserve">- - - - </w:t>
      </w:r>
      <w:r w:rsidRPr="009B5CA2">
        <w:rPr>
          <w:rFonts w:ascii="Arial" w:hAnsi="Arial" w:cs="Arial"/>
        </w:rPr>
        <w:t xml:space="preserve">- - - - - -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013"/>
      </w:tblGrid>
      <w:tr w:rsidR="000C5A40" w:rsidRPr="009B5CA2" w14:paraId="593A7726" w14:textId="77777777" w:rsidTr="00A870A4">
        <w:trPr>
          <w:jc w:val="center"/>
        </w:trPr>
        <w:tc>
          <w:tcPr>
            <w:tcW w:w="8828" w:type="dxa"/>
            <w:gridSpan w:val="2"/>
          </w:tcPr>
          <w:p w14:paraId="5C197F6E" w14:textId="77777777" w:rsidR="000C5A40" w:rsidRPr="009B5CA2" w:rsidRDefault="000C5A40" w:rsidP="00007541">
            <w:pPr>
              <w:widowControl w:val="0"/>
              <w:autoSpaceDE w:val="0"/>
              <w:autoSpaceDN w:val="0"/>
              <w:adjustRightInd w:val="0"/>
              <w:jc w:val="center"/>
              <w:rPr>
                <w:rFonts w:ascii="Arial" w:hAnsi="Arial" w:cs="Arial"/>
                <w:b/>
                <w:bCs/>
                <w:sz w:val="24"/>
                <w:szCs w:val="24"/>
              </w:rPr>
            </w:pPr>
          </w:p>
        </w:tc>
      </w:tr>
      <w:tr w:rsidR="000C5A40" w:rsidRPr="009B5CA2" w14:paraId="7F2A7CE9" w14:textId="77777777" w:rsidTr="00A870A4">
        <w:trPr>
          <w:jc w:val="center"/>
        </w:trPr>
        <w:tc>
          <w:tcPr>
            <w:tcW w:w="8828" w:type="dxa"/>
            <w:gridSpan w:val="2"/>
          </w:tcPr>
          <w:p w14:paraId="32F9E4FE" w14:textId="77777777" w:rsidR="000C5A40" w:rsidRPr="009B5CA2" w:rsidRDefault="000C5A40" w:rsidP="00007541">
            <w:pPr>
              <w:widowControl w:val="0"/>
              <w:autoSpaceDE w:val="0"/>
              <w:autoSpaceDN w:val="0"/>
              <w:adjustRightInd w:val="0"/>
              <w:jc w:val="center"/>
              <w:rPr>
                <w:rFonts w:ascii="Arial" w:hAnsi="Arial" w:cs="Arial"/>
                <w:b/>
                <w:bCs/>
                <w:sz w:val="24"/>
                <w:szCs w:val="24"/>
              </w:rPr>
            </w:pPr>
          </w:p>
          <w:p w14:paraId="37D2A53D" w14:textId="77777777" w:rsidR="000C5A40" w:rsidRPr="009B5CA2" w:rsidRDefault="000C5A40" w:rsidP="00007541">
            <w:pPr>
              <w:widowControl w:val="0"/>
              <w:autoSpaceDE w:val="0"/>
              <w:autoSpaceDN w:val="0"/>
              <w:adjustRightInd w:val="0"/>
              <w:jc w:val="center"/>
              <w:rPr>
                <w:rFonts w:ascii="Arial" w:hAnsi="Arial" w:cs="Arial"/>
                <w:b/>
                <w:bCs/>
                <w:sz w:val="24"/>
                <w:szCs w:val="24"/>
              </w:rPr>
            </w:pPr>
          </w:p>
          <w:p w14:paraId="2719DB25" w14:textId="77777777" w:rsidR="000C5A40" w:rsidRPr="009B5CA2" w:rsidRDefault="000C5A40" w:rsidP="00007541">
            <w:pPr>
              <w:widowControl w:val="0"/>
              <w:autoSpaceDE w:val="0"/>
              <w:autoSpaceDN w:val="0"/>
              <w:adjustRightInd w:val="0"/>
              <w:jc w:val="center"/>
              <w:rPr>
                <w:rFonts w:ascii="Arial" w:hAnsi="Arial" w:cs="Arial"/>
                <w:b/>
                <w:bCs/>
                <w:sz w:val="24"/>
                <w:szCs w:val="24"/>
              </w:rPr>
            </w:pPr>
          </w:p>
          <w:p w14:paraId="25F8E6F2" w14:textId="74917181" w:rsidR="000C5A40" w:rsidRDefault="000C5A40" w:rsidP="00007541">
            <w:pPr>
              <w:widowControl w:val="0"/>
              <w:autoSpaceDE w:val="0"/>
              <w:autoSpaceDN w:val="0"/>
              <w:adjustRightInd w:val="0"/>
              <w:jc w:val="center"/>
              <w:rPr>
                <w:rFonts w:ascii="Arial" w:hAnsi="Arial" w:cs="Arial"/>
                <w:b/>
                <w:bCs/>
                <w:sz w:val="24"/>
                <w:szCs w:val="24"/>
              </w:rPr>
            </w:pPr>
          </w:p>
          <w:p w14:paraId="0ABC6A03" w14:textId="77777777" w:rsidR="00F812B3" w:rsidRPr="009B5CA2" w:rsidRDefault="00F812B3" w:rsidP="00007541">
            <w:pPr>
              <w:widowControl w:val="0"/>
              <w:autoSpaceDE w:val="0"/>
              <w:autoSpaceDN w:val="0"/>
              <w:adjustRightInd w:val="0"/>
              <w:jc w:val="center"/>
              <w:rPr>
                <w:rFonts w:ascii="Arial" w:hAnsi="Arial" w:cs="Arial"/>
                <w:b/>
                <w:bCs/>
                <w:sz w:val="24"/>
                <w:szCs w:val="24"/>
              </w:rPr>
            </w:pPr>
          </w:p>
          <w:p w14:paraId="58C096D9" w14:textId="77777777" w:rsidR="000C5A40" w:rsidRPr="009B5CA2" w:rsidRDefault="000C5A40" w:rsidP="00007541">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HÉCTOR EDUARDO RUÍZ SERRANO</w:t>
            </w:r>
          </w:p>
          <w:p w14:paraId="6F67E0DD" w14:textId="77777777" w:rsidR="000C5A40" w:rsidRPr="009B5CA2" w:rsidRDefault="000C5A40" w:rsidP="00007541">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PRESIDENTE</w:t>
            </w:r>
          </w:p>
        </w:tc>
      </w:tr>
      <w:tr w:rsidR="000C5A40" w:rsidRPr="009B5CA2" w14:paraId="7088096E" w14:textId="77777777" w:rsidTr="00A870A4">
        <w:trPr>
          <w:jc w:val="center"/>
        </w:trPr>
        <w:tc>
          <w:tcPr>
            <w:tcW w:w="4815" w:type="dxa"/>
          </w:tcPr>
          <w:p w14:paraId="3AB73D4C" w14:textId="77777777" w:rsidR="000C5A40" w:rsidRPr="009B5CA2" w:rsidRDefault="000C5A40" w:rsidP="00007541">
            <w:pPr>
              <w:widowControl w:val="0"/>
              <w:autoSpaceDE w:val="0"/>
              <w:autoSpaceDN w:val="0"/>
              <w:adjustRightInd w:val="0"/>
              <w:jc w:val="center"/>
              <w:rPr>
                <w:rFonts w:ascii="Arial" w:hAnsi="Arial" w:cs="Arial"/>
                <w:b/>
                <w:bCs/>
                <w:sz w:val="24"/>
                <w:szCs w:val="24"/>
              </w:rPr>
            </w:pPr>
          </w:p>
        </w:tc>
        <w:tc>
          <w:tcPr>
            <w:tcW w:w="4013" w:type="dxa"/>
          </w:tcPr>
          <w:p w14:paraId="22B75CA3" w14:textId="77777777" w:rsidR="000C5A40" w:rsidRPr="009B5CA2" w:rsidRDefault="000C5A40" w:rsidP="00007541">
            <w:pPr>
              <w:widowControl w:val="0"/>
              <w:autoSpaceDE w:val="0"/>
              <w:autoSpaceDN w:val="0"/>
              <w:adjustRightInd w:val="0"/>
              <w:jc w:val="center"/>
              <w:rPr>
                <w:rFonts w:ascii="Arial" w:hAnsi="Arial" w:cs="Arial"/>
                <w:b/>
                <w:bCs/>
                <w:sz w:val="24"/>
                <w:szCs w:val="24"/>
              </w:rPr>
            </w:pPr>
          </w:p>
          <w:p w14:paraId="6F698C63" w14:textId="77777777" w:rsidR="000C5A40" w:rsidRPr="009B5CA2" w:rsidRDefault="000C5A40" w:rsidP="00007541">
            <w:pPr>
              <w:widowControl w:val="0"/>
              <w:autoSpaceDE w:val="0"/>
              <w:autoSpaceDN w:val="0"/>
              <w:adjustRightInd w:val="0"/>
              <w:jc w:val="center"/>
              <w:rPr>
                <w:rFonts w:ascii="Arial" w:hAnsi="Arial" w:cs="Arial"/>
                <w:b/>
                <w:bCs/>
                <w:sz w:val="24"/>
                <w:szCs w:val="24"/>
              </w:rPr>
            </w:pPr>
          </w:p>
          <w:p w14:paraId="612B1354" w14:textId="77777777" w:rsidR="000C5A40" w:rsidRDefault="000C5A40" w:rsidP="00007541">
            <w:pPr>
              <w:widowControl w:val="0"/>
              <w:autoSpaceDE w:val="0"/>
              <w:autoSpaceDN w:val="0"/>
              <w:adjustRightInd w:val="0"/>
              <w:jc w:val="center"/>
              <w:rPr>
                <w:rFonts w:ascii="Arial" w:hAnsi="Arial" w:cs="Arial"/>
                <w:b/>
                <w:bCs/>
                <w:sz w:val="24"/>
                <w:szCs w:val="24"/>
              </w:rPr>
            </w:pPr>
          </w:p>
          <w:p w14:paraId="02940469" w14:textId="4AB4FD0F" w:rsidR="009B5CA2" w:rsidRDefault="009B5CA2" w:rsidP="00007541">
            <w:pPr>
              <w:widowControl w:val="0"/>
              <w:autoSpaceDE w:val="0"/>
              <w:autoSpaceDN w:val="0"/>
              <w:adjustRightInd w:val="0"/>
              <w:jc w:val="center"/>
              <w:rPr>
                <w:rFonts w:ascii="Arial" w:hAnsi="Arial" w:cs="Arial"/>
                <w:b/>
                <w:bCs/>
                <w:sz w:val="24"/>
                <w:szCs w:val="24"/>
              </w:rPr>
            </w:pPr>
          </w:p>
          <w:p w14:paraId="13C4B51C" w14:textId="77777777" w:rsidR="00007541" w:rsidRDefault="00007541" w:rsidP="00007541">
            <w:pPr>
              <w:widowControl w:val="0"/>
              <w:autoSpaceDE w:val="0"/>
              <w:autoSpaceDN w:val="0"/>
              <w:adjustRightInd w:val="0"/>
              <w:rPr>
                <w:rFonts w:ascii="Arial" w:hAnsi="Arial" w:cs="Arial"/>
                <w:b/>
                <w:bCs/>
                <w:sz w:val="24"/>
                <w:szCs w:val="24"/>
              </w:rPr>
            </w:pPr>
          </w:p>
          <w:p w14:paraId="3F3BB47E" w14:textId="0379E3B3" w:rsidR="009B5CA2" w:rsidRPr="009B5CA2" w:rsidRDefault="009B5CA2" w:rsidP="00007541">
            <w:pPr>
              <w:widowControl w:val="0"/>
              <w:autoSpaceDE w:val="0"/>
              <w:autoSpaceDN w:val="0"/>
              <w:adjustRightInd w:val="0"/>
              <w:jc w:val="center"/>
              <w:rPr>
                <w:rFonts w:ascii="Arial" w:hAnsi="Arial" w:cs="Arial"/>
                <w:b/>
                <w:bCs/>
                <w:sz w:val="24"/>
                <w:szCs w:val="24"/>
              </w:rPr>
            </w:pPr>
          </w:p>
        </w:tc>
      </w:tr>
      <w:tr w:rsidR="000C5A40" w:rsidRPr="009B5CA2" w14:paraId="2CA9C987" w14:textId="77777777" w:rsidTr="00A870A4">
        <w:trPr>
          <w:jc w:val="center"/>
        </w:trPr>
        <w:tc>
          <w:tcPr>
            <w:tcW w:w="4815" w:type="dxa"/>
          </w:tcPr>
          <w:p w14:paraId="2DDEC1FD" w14:textId="04474AC9" w:rsidR="000C5A40" w:rsidRPr="009B5CA2" w:rsidRDefault="000C5A40" w:rsidP="00007541">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 xml:space="preserve">C. </w:t>
            </w:r>
            <w:r w:rsidR="008C0E0F" w:rsidRPr="009B5CA2">
              <w:rPr>
                <w:rFonts w:ascii="Arial" w:hAnsi="Arial" w:cs="Arial"/>
                <w:bCs/>
                <w:sz w:val="24"/>
                <w:szCs w:val="24"/>
              </w:rPr>
              <w:t>ROLANDO SALVADOR RUIZ GARCÍA</w:t>
            </w:r>
          </w:p>
          <w:p w14:paraId="55C4D8A8" w14:textId="7F035034" w:rsidR="000C5A40" w:rsidRPr="009B5CA2" w:rsidRDefault="000C5A40" w:rsidP="00007541">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PRIMER</w:t>
            </w:r>
            <w:r w:rsidR="009B5CA2">
              <w:rPr>
                <w:rFonts w:ascii="Arial" w:hAnsi="Arial" w:cs="Arial"/>
                <w:b/>
                <w:bCs/>
                <w:sz w:val="24"/>
                <w:szCs w:val="24"/>
              </w:rPr>
              <w:t>O</w:t>
            </w:r>
          </w:p>
        </w:tc>
        <w:tc>
          <w:tcPr>
            <w:tcW w:w="4013" w:type="dxa"/>
          </w:tcPr>
          <w:p w14:paraId="7BB88563" w14:textId="16E60614" w:rsidR="000C5A40" w:rsidRPr="009B5CA2" w:rsidRDefault="000C5A40" w:rsidP="00007541">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 xml:space="preserve">C. </w:t>
            </w:r>
            <w:r w:rsidR="00007541" w:rsidRPr="00007541">
              <w:rPr>
                <w:rFonts w:ascii="Arial" w:hAnsi="Arial" w:cs="Arial"/>
                <w:bCs/>
                <w:sz w:val="24"/>
                <w:szCs w:val="24"/>
              </w:rPr>
              <w:t>ALFONSO RAMÍREZ PÉREZ</w:t>
            </w:r>
          </w:p>
          <w:p w14:paraId="70E2176E" w14:textId="334ED164" w:rsidR="000C5A40" w:rsidRPr="009B5CA2" w:rsidRDefault="000C5A40" w:rsidP="00007541">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SEGUND</w:t>
            </w:r>
            <w:r w:rsidR="009B5CA2">
              <w:rPr>
                <w:rFonts w:ascii="Arial" w:hAnsi="Arial" w:cs="Arial"/>
                <w:b/>
                <w:bCs/>
                <w:sz w:val="24"/>
                <w:szCs w:val="24"/>
              </w:rPr>
              <w:t>O</w:t>
            </w:r>
          </w:p>
        </w:tc>
      </w:tr>
      <w:tr w:rsidR="000C5A40" w:rsidRPr="009B5CA2" w14:paraId="71D3EE6B" w14:textId="77777777" w:rsidTr="00A870A4">
        <w:trPr>
          <w:jc w:val="center"/>
        </w:trPr>
        <w:tc>
          <w:tcPr>
            <w:tcW w:w="8828" w:type="dxa"/>
            <w:gridSpan w:val="2"/>
          </w:tcPr>
          <w:p w14:paraId="67144548" w14:textId="77777777" w:rsidR="000C5A40" w:rsidRPr="009B5CA2" w:rsidRDefault="000C5A40" w:rsidP="00007541">
            <w:pPr>
              <w:widowControl w:val="0"/>
              <w:autoSpaceDE w:val="0"/>
              <w:autoSpaceDN w:val="0"/>
              <w:adjustRightInd w:val="0"/>
              <w:jc w:val="center"/>
              <w:rPr>
                <w:rFonts w:ascii="Arial" w:hAnsi="Arial" w:cs="Arial"/>
                <w:b/>
                <w:bCs/>
                <w:sz w:val="24"/>
                <w:szCs w:val="24"/>
              </w:rPr>
            </w:pPr>
          </w:p>
          <w:p w14:paraId="0FB2D225" w14:textId="77777777" w:rsidR="000C5A40" w:rsidRPr="009B5CA2" w:rsidRDefault="000C5A40" w:rsidP="00007541">
            <w:pPr>
              <w:widowControl w:val="0"/>
              <w:autoSpaceDE w:val="0"/>
              <w:autoSpaceDN w:val="0"/>
              <w:adjustRightInd w:val="0"/>
              <w:jc w:val="center"/>
              <w:rPr>
                <w:rFonts w:ascii="Arial" w:hAnsi="Arial" w:cs="Arial"/>
                <w:b/>
                <w:bCs/>
                <w:sz w:val="24"/>
                <w:szCs w:val="24"/>
              </w:rPr>
            </w:pPr>
          </w:p>
          <w:p w14:paraId="5A349A00" w14:textId="4DF3BFF5" w:rsidR="000C5A40" w:rsidRDefault="000C5A40" w:rsidP="00007541">
            <w:pPr>
              <w:widowControl w:val="0"/>
              <w:autoSpaceDE w:val="0"/>
              <w:autoSpaceDN w:val="0"/>
              <w:adjustRightInd w:val="0"/>
              <w:jc w:val="center"/>
              <w:rPr>
                <w:rFonts w:ascii="Arial" w:hAnsi="Arial" w:cs="Arial"/>
                <w:b/>
                <w:bCs/>
                <w:sz w:val="24"/>
                <w:szCs w:val="24"/>
              </w:rPr>
            </w:pPr>
          </w:p>
          <w:p w14:paraId="1B17E8AE" w14:textId="7F462A68" w:rsidR="00F812B3" w:rsidRDefault="00F812B3" w:rsidP="00007541">
            <w:pPr>
              <w:widowControl w:val="0"/>
              <w:autoSpaceDE w:val="0"/>
              <w:autoSpaceDN w:val="0"/>
              <w:adjustRightInd w:val="0"/>
              <w:jc w:val="center"/>
              <w:rPr>
                <w:rFonts w:ascii="Arial" w:hAnsi="Arial" w:cs="Arial"/>
                <w:b/>
                <w:bCs/>
                <w:sz w:val="24"/>
                <w:szCs w:val="24"/>
              </w:rPr>
            </w:pPr>
          </w:p>
          <w:p w14:paraId="41D5D7C2" w14:textId="6D2C1C2D" w:rsidR="00F812B3" w:rsidRDefault="00F812B3" w:rsidP="00007541">
            <w:pPr>
              <w:widowControl w:val="0"/>
              <w:autoSpaceDE w:val="0"/>
              <w:autoSpaceDN w:val="0"/>
              <w:adjustRightInd w:val="0"/>
              <w:jc w:val="center"/>
              <w:rPr>
                <w:rFonts w:ascii="Arial" w:hAnsi="Arial" w:cs="Arial"/>
                <w:b/>
                <w:bCs/>
                <w:sz w:val="24"/>
                <w:szCs w:val="24"/>
              </w:rPr>
            </w:pPr>
          </w:p>
          <w:p w14:paraId="5041E887" w14:textId="0B825864" w:rsidR="00007541" w:rsidRDefault="00007541" w:rsidP="00007541">
            <w:pPr>
              <w:widowControl w:val="0"/>
              <w:autoSpaceDE w:val="0"/>
              <w:autoSpaceDN w:val="0"/>
              <w:adjustRightInd w:val="0"/>
              <w:jc w:val="center"/>
              <w:rPr>
                <w:rFonts w:ascii="Arial" w:hAnsi="Arial" w:cs="Arial"/>
                <w:b/>
                <w:bCs/>
                <w:sz w:val="24"/>
                <w:szCs w:val="24"/>
              </w:rPr>
            </w:pPr>
          </w:p>
          <w:p w14:paraId="2285A389" w14:textId="7BDF82E0" w:rsidR="00007541" w:rsidRDefault="00007541" w:rsidP="00007541">
            <w:pPr>
              <w:widowControl w:val="0"/>
              <w:autoSpaceDE w:val="0"/>
              <w:autoSpaceDN w:val="0"/>
              <w:adjustRightInd w:val="0"/>
              <w:jc w:val="center"/>
              <w:rPr>
                <w:rFonts w:ascii="Arial" w:hAnsi="Arial" w:cs="Arial"/>
                <w:b/>
                <w:bCs/>
                <w:sz w:val="24"/>
                <w:szCs w:val="24"/>
              </w:rPr>
            </w:pPr>
          </w:p>
          <w:p w14:paraId="48ACCFD9" w14:textId="77777777" w:rsidR="00007541" w:rsidRPr="009B5CA2" w:rsidRDefault="00007541" w:rsidP="00007541">
            <w:pPr>
              <w:widowControl w:val="0"/>
              <w:autoSpaceDE w:val="0"/>
              <w:autoSpaceDN w:val="0"/>
              <w:adjustRightInd w:val="0"/>
              <w:jc w:val="center"/>
              <w:rPr>
                <w:rFonts w:ascii="Arial" w:hAnsi="Arial" w:cs="Arial"/>
                <w:b/>
                <w:bCs/>
                <w:sz w:val="24"/>
                <w:szCs w:val="24"/>
              </w:rPr>
            </w:pPr>
          </w:p>
          <w:p w14:paraId="2F04D38F" w14:textId="6BB2E3FB" w:rsidR="000C5A40" w:rsidRPr="009B5CA2" w:rsidRDefault="000C5A40" w:rsidP="00007541">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 xml:space="preserve">C. </w:t>
            </w:r>
            <w:r w:rsidR="008C0E0F" w:rsidRPr="009B5CA2">
              <w:rPr>
                <w:rFonts w:ascii="Arial" w:hAnsi="Arial" w:cs="Arial"/>
                <w:bCs/>
                <w:sz w:val="24"/>
                <w:szCs w:val="24"/>
              </w:rPr>
              <w:t>MANUEL EDUARDO LUIS HERNÁNDEZ</w:t>
            </w:r>
          </w:p>
          <w:p w14:paraId="6734DB74" w14:textId="77777777" w:rsidR="000C5A40" w:rsidRPr="009B5CA2" w:rsidRDefault="000C5A40" w:rsidP="00007541">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SECRETARIO EJECUTIVO</w:t>
            </w:r>
          </w:p>
        </w:tc>
      </w:tr>
      <w:tr w:rsidR="000C5A40" w:rsidRPr="009B5CA2" w14:paraId="6742F306" w14:textId="77777777" w:rsidTr="00A870A4">
        <w:trPr>
          <w:jc w:val="center"/>
        </w:trPr>
        <w:tc>
          <w:tcPr>
            <w:tcW w:w="8828" w:type="dxa"/>
            <w:gridSpan w:val="2"/>
          </w:tcPr>
          <w:p w14:paraId="46CCAB2F" w14:textId="6A7C2898" w:rsidR="000C5A40" w:rsidRDefault="000C5A40" w:rsidP="00007541">
            <w:pPr>
              <w:widowControl w:val="0"/>
              <w:autoSpaceDE w:val="0"/>
              <w:autoSpaceDN w:val="0"/>
              <w:adjustRightInd w:val="0"/>
              <w:jc w:val="center"/>
              <w:rPr>
                <w:rFonts w:ascii="Arial" w:hAnsi="Arial" w:cs="Arial"/>
                <w:b/>
                <w:bCs/>
                <w:sz w:val="24"/>
                <w:szCs w:val="24"/>
              </w:rPr>
            </w:pPr>
          </w:p>
          <w:p w14:paraId="382E5245" w14:textId="43C3109B" w:rsidR="009B5CA2" w:rsidRDefault="009B5CA2" w:rsidP="00007541">
            <w:pPr>
              <w:widowControl w:val="0"/>
              <w:autoSpaceDE w:val="0"/>
              <w:autoSpaceDN w:val="0"/>
              <w:adjustRightInd w:val="0"/>
              <w:jc w:val="center"/>
              <w:rPr>
                <w:rFonts w:ascii="Arial" w:hAnsi="Arial" w:cs="Arial"/>
                <w:b/>
                <w:bCs/>
                <w:sz w:val="24"/>
                <w:szCs w:val="24"/>
              </w:rPr>
            </w:pPr>
          </w:p>
          <w:p w14:paraId="2D60F010" w14:textId="7AE662E9" w:rsidR="00F812B3" w:rsidRDefault="00F812B3" w:rsidP="00007541">
            <w:pPr>
              <w:widowControl w:val="0"/>
              <w:autoSpaceDE w:val="0"/>
              <w:autoSpaceDN w:val="0"/>
              <w:adjustRightInd w:val="0"/>
              <w:jc w:val="center"/>
              <w:rPr>
                <w:rFonts w:ascii="Arial" w:hAnsi="Arial" w:cs="Arial"/>
                <w:b/>
                <w:bCs/>
                <w:sz w:val="24"/>
                <w:szCs w:val="24"/>
              </w:rPr>
            </w:pPr>
          </w:p>
          <w:p w14:paraId="736D8153" w14:textId="4B073095" w:rsidR="00F812B3" w:rsidRDefault="00F812B3" w:rsidP="00007541">
            <w:pPr>
              <w:widowControl w:val="0"/>
              <w:autoSpaceDE w:val="0"/>
              <w:autoSpaceDN w:val="0"/>
              <w:adjustRightInd w:val="0"/>
              <w:jc w:val="center"/>
              <w:rPr>
                <w:rFonts w:ascii="Arial" w:hAnsi="Arial" w:cs="Arial"/>
                <w:b/>
                <w:bCs/>
                <w:sz w:val="24"/>
                <w:szCs w:val="24"/>
              </w:rPr>
            </w:pPr>
          </w:p>
          <w:p w14:paraId="6DDF9F77" w14:textId="28AE9711" w:rsidR="00F812B3" w:rsidRDefault="00F812B3" w:rsidP="00007541">
            <w:pPr>
              <w:widowControl w:val="0"/>
              <w:autoSpaceDE w:val="0"/>
              <w:autoSpaceDN w:val="0"/>
              <w:adjustRightInd w:val="0"/>
              <w:jc w:val="center"/>
              <w:rPr>
                <w:rFonts w:ascii="Arial" w:hAnsi="Arial" w:cs="Arial"/>
                <w:b/>
                <w:bCs/>
                <w:sz w:val="24"/>
                <w:szCs w:val="24"/>
              </w:rPr>
            </w:pPr>
          </w:p>
          <w:p w14:paraId="4CE63BD8" w14:textId="3792B10D" w:rsidR="00007541" w:rsidRDefault="00007541" w:rsidP="00007541">
            <w:pPr>
              <w:widowControl w:val="0"/>
              <w:autoSpaceDE w:val="0"/>
              <w:autoSpaceDN w:val="0"/>
              <w:adjustRightInd w:val="0"/>
              <w:jc w:val="center"/>
              <w:rPr>
                <w:rFonts w:ascii="Arial" w:hAnsi="Arial" w:cs="Arial"/>
                <w:b/>
                <w:bCs/>
                <w:sz w:val="24"/>
                <w:szCs w:val="24"/>
              </w:rPr>
            </w:pPr>
          </w:p>
          <w:p w14:paraId="119F0290" w14:textId="1C3202B1" w:rsidR="00007541" w:rsidRDefault="00007541" w:rsidP="00007541">
            <w:pPr>
              <w:widowControl w:val="0"/>
              <w:autoSpaceDE w:val="0"/>
              <w:autoSpaceDN w:val="0"/>
              <w:adjustRightInd w:val="0"/>
              <w:jc w:val="center"/>
              <w:rPr>
                <w:rFonts w:ascii="Arial" w:hAnsi="Arial" w:cs="Arial"/>
                <w:b/>
                <w:bCs/>
                <w:sz w:val="24"/>
                <w:szCs w:val="24"/>
              </w:rPr>
            </w:pPr>
          </w:p>
          <w:p w14:paraId="459DF281" w14:textId="77777777" w:rsidR="00007541" w:rsidRPr="009B5CA2" w:rsidRDefault="00007541" w:rsidP="00007541">
            <w:pPr>
              <w:widowControl w:val="0"/>
              <w:autoSpaceDE w:val="0"/>
              <w:autoSpaceDN w:val="0"/>
              <w:adjustRightInd w:val="0"/>
              <w:jc w:val="center"/>
              <w:rPr>
                <w:rFonts w:ascii="Arial" w:hAnsi="Arial" w:cs="Arial"/>
                <w:b/>
                <w:bCs/>
                <w:sz w:val="24"/>
                <w:szCs w:val="24"/>
              </w:rPr>
            </w:pPr>
          </w:p>
          <w:p w14:paraId="34D00C88" w14:textId="77777777" w:rsidR="000C5A40" w:rsidRPr="009B5CA2" w:rsidRDefault="000C5A40" w:rsidP="00007541">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JORGE FAUSTO BUSTAMANTE GARCÍA</w:t>
            </w:r>
          </w:p>
          <w:p w14:paraId="2C7D8ACF" w14:textId="77777777" w:rsidR="000C5A40" w:rsidRPr="009B5CA2" w:rsidRDefault="000C5A40" w:rsidP="00007541">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COMISARIO</w:t>
            </w:r>
          </w:p>
        </w:tc>
      </w:tr>
    </w:tbl>
    <w:p w14:paraId="693E9F54" w14:textId="77777777"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1473B504" w14:textId="77777777"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6F934BF3" w14:textId="77777777"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1C27AFA6" w14:textId="77777777"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04A83C34" w14:textId="77777777"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1CD4A7A0" w14:textId="576D0D2A"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0D9ED6FB" w14:textId="21AA230B"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170F17E4" w14:textId="391456D4"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5C53C40D" w14:textId="14951A0A"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3714BA04" w14:textId="3130F0C3"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3D91435B" w14:textId="08D1BDB9"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71681681" w14:textId="41344AD3"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0E275327" w14:textId="15ADB21F"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43971685" w14:textId="1647BC31"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590B6F67" w14:textId="26BDA6D3"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54B5AF6A" w14:textId="59174947"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6D63057A" w14:textId="0AD60D9D"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50D4EFEA" w14:textId="1404C079"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15589AFB" w14:textId="033E4B6E"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07E06FF0" w14:textId="48330DC6"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69A44F9E" w14:textId="5F8F4420"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163576C4" w14:textId="1C19E957"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2919618F" w14:textId="4DC07235"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6AEA2B20" w14:textId="34855C98"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7354D1F0" w14:textId="77777777"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255572E3" w14:textId="77777777"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5DFE4770" w14:textId="77777777"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5B15C4CF" w14:textId="77777777" w:rsidR="00007541"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24BE135F" w14:textId="7F076E0C" w:rsidR="00007541" w:rsidRPr="00946E32" w:rsidRDefault="00007541" w:rsidP="00007541">
      <w:pPr>
        <w:widowControl w:val="0"/>
        <w:tabs>
          <w:tab w:val="left" w:pos="1933"/>
          <w:tab w:val="left" w:pos="5220"/>
        </w:tabs>
        <w:autoSpaceDE w:val="0"/>
        <w:autoSpaceDN w:val="0"/>
        <w:adjustRightInd w:val="0"/>
        <w:spacing w:line="360" w:lineRule="auto"/>
        <w:jc w:val="both"/>
        <w:rPr>
          <w:rFonts w:ascii="Arial" w:hAnsi="Arial" w:cs="Arial"/>
          <w:sz w:val="16"/>
          <w:szCs w:val="16"/>
        </w:rPr>
      </w:pPr>
      <w:r w:rsidRPr="00946E32">
        <w:rPr>
          <w:rFonts w:ascii="Arial" w:hAnsi="Arial" w:cs="Arial"/>
          <w:sz w:val="16"/>
          <w:szCs w:val="16"/>
        </w:rPr>
        <w:t xml:space="preserve">LAS PRESENTES FIRMAS CORRESPONDEN AL </w:t>
      </w:r>
      <w:r w:rsidRPr="00007541">
        <w:rPr>
          <w:rFonts w:ascii="Arial" w:hAnsi="Arial" w:cs="Arial"/>
          <w:sz w:val="16"/>
          <w:szCs w:val="16"/>
        </w:rPr>
        <w:t xml:space="preserve">ACUERDO/OGAIPO/CT/008/2025 POR EL CUAL EL COMITÉ DE TRANSPARENCIA DE ESTE ÓRGANO GARANTE, CONFIRMA LA DECLARATORIA DE CLASIFICACIÓN DE INFORMACIÓN COMO RESERVADA QUE EMITE LA CONTRALORÍA GENERAL, RESPECTO DE LA SOLICITUD DE ACCESO A LA INFORMACIÓN PÚBLICA CON NÚMERO DE FOLIO 202728525000197, </w:t>
      </w:r>
      <w:r>
        <w:rPr>
          <w:rFonts w:ascii="Arial" w:hAnsi="Arial" w:cs="Arial"/>
          <w:sz w:val="16"/>
          <w:szCs w:val="16"/>
        </w:rPr>
        <w:t xml:space="preserve">DE FECHA </w:t>
      </w:r>
      <w:r>
        <w:rPr>
          <w:rFonts w:ascii="Arial" w:hAnsi="Arial" w:cs="Arial"/>
          <w:bCs/>
          <w:sz w:val="16"/>
          <w:szCs w:val="16"/>
        </w:rPr>
        <w:t xml:space="preserve">TRES </w:t>
      </w:r>
      <w:r w:rsidRPr="00946E32">
        <w:rPr>
          <w:rFonts w:ascii="Arial" w:hAnsi="Arial" w:cs="Arial"/>
          <w:bCs/>
          <w:sz w:val="16"/>
          <w:szCs w:val="16"/>
        </w:rPr>
        <w:t xml:space="preserve">DE </w:t>
      </w:r>
      <w:r>
        <w:rPr>
          <w:rFonts w:ascii="Arial" w:hAnsi="Arial" w:cs="Arial"/>
          <w:bCs/>
          <w:sz w:val="16"/>
          <w:szCs w:val="16"/>
        </w:rPr>
        <w:t xml:space="preserve">OCTUBRE </w:t>
      </w:r>
      <w:r w:rsidRPr="00946E32">
        <w:rPr>
          <w:rFonts w:ascii="Arial" w:hAnsi="Arial" w:cs="Arial"/>
          <w:bCs/>
          <w:sz w:val="16"/>
          <w:szCs w:val="16"/>
        </w:rPr>
        <w:t>DEL DOS MIL VEINTICINCO. - - - - - - - - - - - - - - - - - - - - - - - - - - - - - - - - - - - - - - - -</w:t>
      </w:r>
      <w:r>
        <w:rPr>
          <w:rFonts w:ascii="Arial" w:hAnsi="Arial" w:cs="Arial"/>
          <w:bCs/>
          <w:sz w:val="16"/>
          <w:szCs w:val="16"/>
        </w:rPr>
        <w:t xml:space="preserve"> </w:t>
      </w:r>
      <w:r w:rsidRPr="00946E32">
        <w:rPr>
          <w:rFonts w:ascii="Arial" w:hAnsi="Arial" w:cs="Arial"/>
          <w:bCs/>
          <w:sz w:val="16"/>
          <w:szCs w:val="16"/>
        </w:rPr>
        <w:t>- - - - - - - - - - - - - - - - - - - -</w:t>
      </w:r>
      <w:r>
        <w:rPr>
          <w:rFonts w:ascii="Arial" w:hAnsi="Arial" w:cs="Arial"/>
          <w:bCs/>
          <w:sz w:val="16"/>
          <w:szCs w:val="16"/>
        </w:rPr>
        <w:t xml:space="preserve"> - - - - - - - - </w:t>
      </w:r>
    </w:p>
    <w:p w14:paraId="2AF9FA35" w14:textId="77777777" w:rsidR="00007541" w:rsidRPr="00946E32" w:rsidRDefault="00007541" w:rsidP="00007541">
      <w:pPr>
        <w:widowControl w:val="0"/>
        <w:tabs>
          <w:tab w:val="left" w:pos="1933"/>
          <w:tab w:val="left" w:pos="5220"/>
        </w:tabs>
        <w:autoSpaceDE w:val="0"/>
        <w:autoSpaceDN w:val="0"/>
        <w:adjustRightInd w:val="0"/>
        <w:spacing w:line="360" w:lineRule="auto"/>
        <w:rPr>
          <w:rFonts w:ascii="Arial" w:hAnsi="Arial" w:cs="Arial"/>
          <w:sz w:val="16"/>
          <w:szCs w:val="16"/>
        </w:rPr>
      </w:pPr>
    </w:p>
    <w:p w14:paraId="2852BB08" w14:textId="2340F872" w:rsidR="00C23A52" w:rsidRPr="004461C3" w:rsidRDefault="00007541" w:rsidP="004461C3">
      <w:pPr>
        <w:widowControl w:val="0"/>
        <w:tabs>
          <w:tab w:val="left" w:pos="1933"/>
          <w:tab w:val="left" w:pos="5220"/>
        </w:tabs>
        <w:autoSpaceDE w:val="0"/>
        <w:autoSpaceDN w:val="0"/>
        <w:adjustRightInd w:val="0"/>
        <w:spacing w:line="360" w:lineRule="auto"/>
        <w:rPr>
          <w:rFonts w:ascii="Arial" w:hAnsi="Arial" w:cs="Arial"/>
          <w:sz w:val="16"/>
          <w:szCs w:val="16"/>
        </w:rPr>
      </w:pPr>
      <w:r w:rsidRPr="00946E32">
        <w:rPr>
          <w:rFonts w:ascii="Arial" w:hAnsi="Arial" w:cs="Arial"/>
          <w:sz w:val="16"/>
          <w:szCs w:val="16"/>
        </w:rPr>
        <w:t>MELH*</w:t>
      </w:r>
      <w:proofErr w:type="spellStart"/>
      <w:r w:rsidRPr="00946E32">
        <w:rPr>
          <w:rFonts w:ascii="Arial" w:hAnsi="Arial" w:cs="Arial"/>
          <w:sz w:val="16"/>
          <w:szCs w:val="16"/>
        </w:rPr>
        <w:t>rccd</w:t>
      </w:r>
      <w:proofErr w:type="spellEnd"/>
    </w:p>
    <w:sectPr w:rsidR="00C23A52" w:rsidRPr="004461C3"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7C92" w14:textId="77777777" w:rsidR="00A45A17" w:rsidRDefault="00A45A17" w:rsidP="00505074">
      <w:r>
        <w:separator/>
      </w:r>
    </w:p>
  </w:endnote>
  <w:endnote w:type="continuationSeparator" w:id="0">
    <w:p w14:paraId="08257CA5" w14:textId="77777777" w:rsidR="00A45A17" w:rsidRDefault="00A45A17"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E0D8" w14:textId="77777777" w:rsidR="00A45A17" w:rsidRDefault="00A45A17" w:rsidP="00505074">
      <w:r>
        <w:separator/>
      </w:r>
    </w:p>
  </w:footnote>
  <w:footnote w:type="continuationSeparator" w:id="0">
    <w:p w14:paraId="1E836C54" w14:textId="77777777" w:rsidR="00A45A17" w:rsidRDefault="00A45A17" w:rsidP="00505074">
      <w:r>
        <w:continuationSeparator/>
      </w:r>
    </w:p>
  </w:footnote>
  <w:footnote w:id="1">
    <w:p w14:paraId="23D9DB08" w14:textId="793B59DE" w:rsidR="007B6BED" w:rsidRPr="00AA3F0A" w:rsidRDefault="007B6BED" w:rsidP="00AA3F0A">
      <w:pPr>
        <w:pStyle w:val="Textonotapie"/>
        <w:jc w:val="both"/>
        <w:rPr>
          <w:rFonts w:ascii="Arial" w:hAnsi="Arial" w:cs="Arial"/>
          <w:sz w:val="16"/>
          <w:szCs w:val="16"/>
        </w:rPr>
      </w:pPr>
      <w:r w:rsidRPr="00AA3F0A">
        <w:rPr>
          <w:rStyle w:val="Refdenotaalpie"/>
          <w:rFonts w:ascii="Arial" w:hAnsi="Arial" w:cs="Arial"/>
          <w:sz w:val="16"/>
          <w:szCs w:val="16"/>
        </w:rPr>
        <w:footnoteRef/>
      </w:r>
      <w:r w:rsidR="00AA3F0A" w:rsidRPr="00AA3F0A">
        <w:rPr>
          <w:rFonts w:ascii="Arial" w:hAnsi="Arial" w:cs="Arial"/>
          <w:sz w:val="16"/>
          <w:szCs w:val="16"/>
        </w:rPr>
        <w:t xml:space="preserve"> </w:t>
      </w:r>
      <w:r w:rsidRPr="00AA3F0A">
        <w:rPr>
          <w:rFonts w:ascii="Arial" w:hAnsi="Arial" w:cs="Arial"/>
          <w:sz w:val="16"/>
          <w:szCs w:val="16"/>
        </w:rPr>
        <w:t>Consultable</w:t>
      </w:r>
      <w:r w:rsidR="00AA3F0A">
        <w:rPr>
          <w:rFonts w:ascii="Arial" w:hAnsi="Arial" w:cs="Arial"/>
          <w:sz w:val="16"/>
          <w:szCs w:val="16"/>
        </w:rPr>
        <w:t xml:space="preserve"> </w:t>
      </w:r>
      <w:r w:rsidRPr="00AA3F0A">
        <w:rPr>
          <w:rFonts w:ascii="Arial" w:hAnsi="Arial" w:cs="Arial"/>
          <w:sz w:val="16"/>
          <w:szCs w:val="16"/>
        </w:rPr>
        <w:t xml:space="preserve">en el siguiente enlace electrónico </w:t>
      </w:r>
      <w:hyperlink r:id="rId1" w:history="1">
        <w:r w:rsidRPr="00AA3F0A">
          <w:rPr>
            <w:rStyle w:val="Hipervnculo"/>
            <w:rFonts w:ascii="Arial" w:hAnsi="Arial" w:cs="Arial"/>
            <w:sz w:val="16"/>
            <w:szCs w:val="16"/>
          </w:rPr>
          <w:t>https://www.congresooaxaca.gob.mx/docs64.congresooaxaca.gob.mx/documents/decrets/POLXIV_2890.pdf</w:t>
        </w:r>
      </w:hyperlink>
      <w:r w:rsidRPr="00AA3F0A">
        <w:rPr>
          <w:rFonts w:ascii="Arial" w:hAnsi="Arial" w:cs="Arial"/>
          <w:sz w:val="16"/>
          <w:szCs w:val="16"/>
        </w:rPr>
        <w:t xml:space="preserve"> </w:t>
      </w:r>
    </w:p>
  </w:footnote>
  <w:footnote w:id="2">
    <w:p w14:paraId="77B4747B" w14:textId="3C687FB9" w:rsidR="007B6BED" w:rsidRPr="00AA3F0A" w:rsidRDefault="007B6BED" w:rsidP="00AA3F0A">
      <w:pPr>
        <w:pStyle w:val="Textonotapie"/>
        <w:jc w:val="both"/>
        <w:rPr>
          <w:rFonts w:ascii="Arial" w:hAnsi="Arial" w:cs="Arial"/>
          <w:sz w:val="16"/>
          <w:szCs w:val="16"/>
        </w:rPr>
      </w:pPr>
      <w:r w:rsidRPr="00AA3F0A">
        <w:rPr>
          <w:rStyle w:val="Refdenotaalpie"/>
          <w:rFonts w:ascii="Arial" w:hAnsi="Arial" w:cs="Arial"/>
          <w:sz w:val="16"/>
          <w:szCs w:val="16"/>
        </w:rPr>
        <w:footnoteRef/>
      </w:r>
      <w:r w:rsidRPr="00AA3F0A">
        <w:rPr>
          <w:rFonts w:ascii="Arial" w:hAnsi="Arial" w:cs="Arial"/>
          <w:sz w:val="16"/>
          <w:szCs w:val="16"/>
        </w:rPr>
        <w:t xml:space="preserve"> Consultable</w:t>
      </w:r>
      <w:r w:rsidR="00AA3F0A">
        <w:rPr>
          <w:rFonts w:ascii="Arial" w:hAnsi="Arial" w:cs="Arial"/>
          <w:sz w:val="16"/>
          <w:szCs w:val="16"/>
        </w:rPr>
        <w:t xml:space="preserve"> </w:t>
      </w:r>
      <w:r w:rsidRPr="00AA3F0A">
        <w:rPr>
          <w:rFonts w:ascii="Arial" w:hAnsi="Arial" w:cs="Arial"/>
          <w:sz w:val="16"/>
          <w:szCs w:val="16"/>
        </w:rPr>
        <w:t xml:space="preserve">en el siguiente enlace electrónico </w:t>
      </w:r>
      <w:hyperlink r:id="rId2" w:history="1">
        <w:r w:rsidRPr="00AA3F0A">
          <w:rPr>
            <w:rStyle w:val="Hipervnculo"/>
            <w:rFonts w:ascii="Arial" w:hAnsi="Arial" w:cs="Arial"/>
            <w:sz w:val="16"/>
            <w:szCs w:val="16"/>
          </w:rPr>
          <w:t>https://www.congresooaxaca.gob.mx/docs64.congresooaxaca.gob.mx/documents/decrets/POLXIV_2891.pdf</w:t>
        </w:r>
      </w:hyperlink>
      <w:r w:rsidRPr="00AA3F0A">
        <w:rPr>
          <w:rFonts w:ascii="Arial" w:hAnsi="Arial" w:cs="Arial"/>
          <w:sz w:val="16"/>
          <w:szCs w:val="16"/>
        </w:rPr>
        <w:t xml:space="preserve"> </w:t>
      </w:r>
    </w:p>
  </w:footnote>
  <w:footnote w:id="3">
    <w:p w14:paraId="60E583D3" w14:textId="77777777" w:rsidR="007B6BED" w:rsidRPr="00AA3F0A" w:rsidRDefault="007B6BED" w:rsidP="00AA3F0A">
      <w:pPr>
        <w:pStyle w:val="Textonotapie"/>
        <w:jc w:val="both"/>
        <w:rPr>
          <w:rFonts w:ascii="Arial" w:hAnsi="Arial" w:cs="Arial"/>
          <w:sz w:val="16"/>
          <w:szCs w:val="16"/>
        </w:rPr>
      </w:pPr>
      <w:r w:rsidRPr="00AA3F0A">
        <w:rPr>
          <w:rStyle w:val="Refdenotaalpie"/>
          <w:rFonts w:ascii="Arial" w:hAnsi="Arial" w:cs="Arial"/>
          <w:sz w:val="16"/>
          <w:szCs w:val="16"/>
        </w:rPr>
        <w:footnoteRef/>
      </w:r>
      <w:r w:rsidRPr="00AA3F0A">
        <w:rPr>
          <w:rFonts w:ascii="Arial" w:hAnsi="Arial" w:cs="Arial"/>
          <w:sz w:val="16"/>
          <w:szCs w:val="16"/>
        </w:rPr>
        <w:t xml:space="preserve"> Consultable en </w:t>
      </w:r>
      <w:hyperlink r:id="rId3" w:history="1">
        <w:r w:rsidRPr="00AA3F0A">
          <w:rPr>
            <w:rStyle w:val="Hipervnculo"/>
            <w:rFonts w:ascii="Arial" w:hAnsi="Arial" w:cs="Arial"/>
            <w:sz w:val="16"/>
            <w:szCs w:val="16"/>
          </w:rPr>
          <w:t>https://ogaipoaxaca.org.mx/site/descargas/acuerdos/ACUERDO-OGAIPO-CG-001-2025.pdf</w:t>
        </w:r>
      </w:hyperlink>
      <w:r w:rsidRPr="00AA3F0A">
        <w:rPr>
          <w:rFonts w:ascii="Arial" w:hAnsi="Arial" w:cs="Arial"/>
          <w:sz w:val="16"/>
          <w:szCs w:val="16"/>
        </w:rPr>
        <w:t xml:space="preserve"> </w:t>
      </w:r>
    </w:p>
  </w:footnote>
  <w:footnote w:id="4">
    <w:p w14:paraId="52467686" w14:textId="77777777" w:rsidR="00C93AC8" w:rsidRDefault="00C93AC8" w:rsidP="00C93AC8">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Consultable en </w:t>
      </w:r>
      <w:hyperlink r:id="rId4">
        <w:r>
          <w:rPr>
            <w:rFonts w:ascii="Arial" w:eastAsia="Arial" w:hAnsi="Arial" w:cs="Arial"/>
            <w:color w:val="0563C1"/>
            <w:sz w:val="18"/>
            <w:szCs w:val="18"/>
            <w:u w:val="single"/>
          </w:rPr>
          <w:t>https://www.diputados.gob.mx/LeyesBiblio/pdf/LGTAIP.pdf</w:t>
        </w:r>
      </w:hyperlink>
      <w:r>
        <w:rPr>
          <w:rFonts w:ascii="Arial" w:eastAsia="Arial" w:hAnsi="Arial" w:cs="Arial"/>
          <w:color w:val="000000"/>
          <w:sz w:val="18"/>
          <w:szCs w:val="18"/>
        </w:rPr>
        <w:t xml:space="preserve"> </w:t>
      </w:r>
    </w:p>
  </w:footnote>
  <w:footnote w:id="5">
    <w:p w14:paraId="743DDB20" w14:textId="77777777" w:rsidR="00C93AC8" w:rsidRDefault="00C93AC8" w:rsidP="00C93AC8">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Consultable en </w:t>
      </w:r>
      <w:hyperlink r:id="rId5">
        <w:r>
          <w:rPr>
            <w:rFonts w:ascii="Arial" w:eastAsia="Arial" w:hAnsi="Arial" w:cs="Arial"/>
            <w:color w:val="0563C1"/>
            <w:sz w:val="18"/>
            <w:szCs w:val="18"/>
            <w:u w:val="single"/>
          </w:rPr>
          <w:t>https://www.diputados.gob.mx/LeyesBiblio/pdf/LGPDPPSO.pdf</w:t>
        </w:r>
      </w:hyperlink>
      <w:r>
        <w:rPr>
          <w:rFonts w:ascii="Arial" w:eastAsia="Arial" w:hAnsi="Arial" w:cs="Arial"/>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25A8B"/>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30DC11DC"/>
    <w:multiLevelType w:val="hybridMultilevel"/>
    <w:tmpl w:val="6F78D188"/>
    <w:lvl w:ilvl="0" w:tplc="BFE8AE5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5AF11609"/>
    <w:multiLevelType w:val="multilevel"/>
    <w:tmpl w:val="35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4431C2"/>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A1F46C3"/>
    <w:multiLevelType w:val="multilevel"/>
    <w:tmpl w:val="EEB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7306E3"/>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07541"/>
    <w:rsid w:val="00020D25"/>
    <w:rsid w:val="00022D14"/>
    <w:rsid w:val="00034C57"/>
    <w:rsid w:val="00043062"/>
    <w:rsid w:val="00075AB7"/>
    <w:rsid w:val="000C136A"/>
    <w:rsid w:val="000C5A40"/>
    <w:rsid w:val="000E0765"/>
    <w:rsid w:val="000F0C77"/>
    <w:rsid w:val="00123E0B"/>
    <w:rsid w:val="00150315"/>
    <w:rsid w:val="00191709"/>
    <w:rsid w:val="001C3A24"/>
    <w:rsid w:val="001C5977"/>
    <w:rsid w:val="001D30EE"/>
    <w:rsid w:val="002060F1"/>
    <w:rsid w:val="002079D9"/>
    <w:rsid w:val="002113D4"/>
    <w:rsid w:val="00212461"/>
    <w:rsid w:val="0023320E"/>
    <w:rsid w:val="002345C3"/>
    <w:rsid w:val="00237254"/>
    <w:rsid w:val="002C2BF8"/>
    <w:rsid w:val="002C54D1"/>
    <w:rsid w:val="002C7EF3"/>
    <w:rsid w:val="002D152B"/>
    <w:rsid w:val="003201F8"/>
    <w:rsid w:val="00320B59"/>
    <w:rsid w:val="0037163E"/>
    <w:rsid w:val="003D3B13"/>
    <w:rsid w:val="003F2BE5"/>
    <w:rsid w:val="003F7C21"/>
    <w:rsid w:val="00421C14"/>
    <w:rsid w:val="004461C3"/>
    <w:rsid w:val="00453250"/>
    <w:rsid w:val="00461AF6"/>
    <w:rsid w:val="00483A45"/>
    <w:rsid w:val="00496B6A"/>
    <w:rsid w:val="004D1E84"/>
    <w:rsid w:val="004F2AB0"/>
    <w:rsid w:val="00505074"/>
    <w:rsid w:val="005100FB"/>
    <w:rsid w:val="005F6794"/>
    <w:rsid w:val="0061401C"/>
    <w:rsid w:val="00634979"/>
    <w:rsid w:val="00646D7C"/>
    <w:rsid w:val="006632A1"/>
    <w:rsid w:val="006647D2"/>
    <w:rsid w:val="00703E8D"/>
    <w:rsid w:val="00711F99"/>
    <w:rsid w:val="00725F6A"/>
    <w:rsid w:val="00731C9A"/>
    <w:rsid w:val="007B588F"/>
    <w:rsid w:val="007B6BED"/>
    <w:rsid w:val="007E6FBA"/>
    <w:rsid w:val="00801920"/>
    <w:rsid w:val="008C0E0F"/>
    <w:rsid w:val="009100C6"/>
    <w:rsid w:val="00920943"/>
    <w:rsid w:val="009432EF"/>
    <w:rsid w:val="0097523B"/>
    <w:rsid w:val="00977F94"/>
    <w:rsid w:val="00982095"/>
    <w:rsid w:val="0098705B"/>
    <w:rsid w:val="009B5CA2"/>
    <w:rsid w:val="009E20E2"/>
    <w:rsid w:val="009F39FC"/>
    <w:rsid w:val="00A31065"/>
    <w:rsid w:val="00A45A17"/>
    <w:rsid w:val="00A56332"/>
    <w:rsid w:val="00A82C1A"/>
    <w:rsid w:val="00A84F64"/>
    <w:rsid w:val="00A870A4"/>
    <w:rsid w:val="00AA3F0A"/>
    <w:rsid w:val="00AF5999"/>
    <w:rsid w:val="00B04712"/>
    <w:rsid w:val="00B9784F"/>
    <w:rsid w:val="00BC1199"/>
    <w:rsid w:val="00BC3F65"/>
    <w:rsid w:val="00C07082"/>
    <w:rsid w:val="00C16715"/>
    <w:rsid w:val="00C221F2"/>
    <w:rsid w:val="00C23A52"/>
    <w:rsid w:val="00C25E29"/>
    <w:rsid w:val="00C335F7"/>
    <w:rsid w:val="00C93AC8"/>
    <w:rsid w:val="00CB7833"/>
    <w:rsid w:val="00CC05E7"/>
    <w:rsid w:val="00CC2DA7"/>
    <w:rsid w:val="00CC6A7D"/>
    <w:rsid w:val="00CF2E91"/>
    <w:rsid w:val="00D50992"/>
    <w:rsid w:val="00D96B13"/>
    <w:rsid w:val="00DC0B0F"/>
    <w:rsid w:val="00DC1402"/>
    <w:rsid w:val="00DC65C4"/>
    <w:rsid w:val="00DD237C"/>
    <w:rsid w:val="00DD4AAB"/>
    <w:rsid w:val="00E30D31"/>
    <w:rsid w:val="00E525E8"/>
    <w:rsid w:val="00E855CA"/>
    <w:rsid w:val="00EB03AB"/>
    <w:rsid w:val="00EC68B6"/>
    <w:rsid w:val="00EE48C4"/>
    <w:rsid w:val="00F023FE"/>
    <w:rsid w:val="00F36284"/>
    <w:rsid w:val="00F56F58"/>
    <w:rsid w:val="00F6330E"/>
    <w:rsid w:val="00F71E7D"/>
    <w:rsid w:val="00F812B3"/>
    <w:rsid w:val="00F854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320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229262">
      <w:bodyDiv w:val="1"/>
      <w:marLeft w:val="0"/>
      <w:marRight w:val="0"/>
      <w:marTop w:val="0"/>
      <w:marBottom w:val="0"/>
      <w:divBdr>
        <w:top w:val="none" w:sz="0" w:space="0" w:color="auto"/>
        <w:left w:val="none" w:sz="0" w:space="0" w:color="auto"/>
        <w:bottom w:val="none" w:sz="0" w:space="0" w:color="auto"/>
        <w:right w:val="none" w:sz="0" w:space="0" w:color="auto"/>
      </w:divBdr>
    </w:div>
    <w:div w:id="174344568">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2330224">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151101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43582693">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59854128">
      <w:bodyDiv w:val="1"/>
      <w:marLeft w:val="0"/>
      <w:marRight w:val="0"/>
      <w:marTop w:val="0"/>
      <w:marBottom w:val="0"/>
      <w:divBdr>
        <w:top w:val="none" w:sz="0" w:space="0" w:color="auto"/>
        <w:left w:val="none" w:sz="0" w:space="0" w:color="auto"/>
        <w:bottom w:val="none" w:sz="0" w:space="0" w:color="auto"/>
        <w:right w:val="none" w:sz="0" w:space="0" w:color="auto"/>
      </w:divBdr>
    </w:div>
    <w:div w:id="946697851">
      <w:bodyDiv w:val="1"/>
      <w:marLeft w:val="0"/>
      <w:marRight w:val="0"/>
      <w:marTop w:val="0"/>
      <w:marBottom w:val="0"/>
      <w:divBdr>
        <w:top w:val="none" w:sz="0" w:space="0" w:color="auto"/>
        <w:left w:val="none" w:sz="0" w:space="0" w:color="auto"/>
        <w:bottom w:val="none" w:sz="0" w:space="0" w:color="auto"/>
        <w:right w:val="none" w:sz="0" w:space="0" w:color="auto"/>
      </w:divBdr>
    </w:div>
    <w:div w:id="967131268">
      <w:bodyDiv w:val="1"/>
      <w:marLeft w:val="0"/>
      <w:marRight w:val="0"/>
      <w:marTop w:val="0"/>
      <w:marBottom w:val="0"/>
      <w:divBdr>
        <w:top w:val="none" w:sz="0" w:space="0" w:color="auto"/>
        <w:left w:val="none" w:sz="0" w:space="0" w:color="auto"/>
        <w:bottom w:val="none" w:sz="0" w:space="0" w:color="auto"/>
        <w:right w:val="none" w:sz="0" w:space="0" w:color="auto"/>
      </w:divBdr>
    </w:div>
    <w:div w:id="1143280694">
      <w:bodyDiv w:val="1"/>
      <w:marLeft w:val="0"/>
      <w:marRight w:val="0"/>
      <w:marTop w:val="0"/>
      <w:marBottom w:val="0"/>
      <w:divBdr>
        <w:top w:val="none" w:sz="0" w:space="0" w:color="auto"/>
        <w:left w:val="none" w:sz="0" w:space="0" w:color="auto"/>
        <w:bottom w:val="none" w:sz="0" w:space="0" w:color="auto"/>
        <w:right w:val="none" w:sz="0" w:space="0" w:color="auto"/>
      </w:divBdr>
    </w:div>
    <w:div w:id="1267930291">
      <w:bodyDiv w:val="1"/>
      <w:marLeft w:val="0"/>
      <w:marRight w:val="0"/>
      <w:marTop w:val="0"/>
      <w:marBottom w:val="0"/>
      <w:divBdr>
        <w:top w:val="none" w:sz="0" w:space="0" w:color="auto"/>
        <w:left w:val="none" w:sz="0" w:space="0" w:color="auto"/>
        <w:bottom w:val="none" w:sz="0" w:space="0" w:color="auto"/>
        <w:right w:val="none" w:sz="0" w:space="0" w:color="auto"/>
      </w:divBdr>
    </w:div>
    <w:div w:id="1296837903">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080139">
      <w:bodyDiv w:val="1"/>
      <w:marLeft w:val="0"/>
      <w:marRight w:val="0"/>
      <w:marTop w:val="0"/>
      <w:marBottom w:val="0"/>
      <w:divBdr>
        <w:top w:val="none" w:sz="0" w:space="0" w:color="auto"/>
        <w:left w:val="none" w:sz="0" w:space="0" w:color="auto"/>
        <w:bottom w:val="none" w:sz="0" w:space="0" w:color="auto"/>
        <w:right w:val="none" w:sz="0" w:space="0" w:color="auto"/>
      </w:divBdr>
    </w:div>
    <w:div w:id="1672443162">
      <w:bodyDiv w:val="1"/>
      <w:marLeft w:val="0"/>
      <w:marRight w:val="0"/>
      <w:marTop w:val="0"/>
      <w:marBottom w:val="0"/>
      <w:divBdr>
        <w:top w:val="none" w:sz="0" w:space="0" w:color="auto"/>
        <w:left w:val="none" w:sz="0" w:space="0" w:color="auto"/>
        <w:bottom w:val="none" w:sz="0" w:space="0" w:color="auto"/>
        <w:right w:val="none" w:sz="0" w:space="0" w:color="auto"/>
      </w:divBdr>
    </w:div>
    <w:div w:id="170297155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 w:id="195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ogaipoaxaca.org.mx/site/descargas/acuerdos/ACUERDO-OGAIPO-CG-001-2025.pdf" TargetMode="External"/><Relationship Id="rId2" Type="http://schemas.openxmlformats.org/officeDocument/2006/relationships/hyperlink" Target="https://www.congresooaxaca.gob.mx/docs64.congresooaxaca.gob.mx/documents/decrets/POLXIV_2891.pdf" TargetMode="External"/><Relationship Id="rId1" Type="http://schemas.openxmlformats.org/officeDocument/2006/relationships/hyperlink" Target="https://www.congresooaxaca.gob.mx/docs64.congresooaxaca.gob.mx/documents/decrets/POLXIV_2890.pdf" TargetMode="External"/><Relationship Id="rId5" Type="http://schemas.openxmlformats.org/officeDocument/2006/relationships/hyperlink" Target="https://www.diputados.gob.mx/LeyesBiblio/pdf/LGPDPPSO.pdf" TargetMode="External"/><Relationship Id="rId4" Type="http://schemas.openxmlformats.org/officeDocument/2006/relationships/hyperlink" Target="https://www.diputados.gob.mx/LeyesBiblio/pdf/LGTAI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6079</Words>
  <Characters>33438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16</cp:revision>
  <cp:lastPrinted>2025-10-29T14:26:00Z</cp:lastPrinted>
  <dcterms:created xsi:type="dcterms:W3CDTF">2025-01-21T19:37:00Z</dcterms:created>
  <dcterms:modified xsi:type="dcterms:W3CDTF">2025-10-29T14:33:00Z</dcterms:modified>
</cp:coreProperties>
</file>