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01EC1" w14:textId="685355E4" w:rsidR="007A14C9" w:rsidRDefault="00856FAA" w:rsidP="007A14C9">
      <w:pPr>
        <w:tabs>
          <w:tab w:val="left" w:pos="6345"/>
        </w:tabs>
        <w:jc w:val="right"/>
        <w:rPr>
          <w:rFonts w:ascii="Arial" w:hAnsi="Arial" w:cs="Arial"/>
          <w:b/>
        </w:rPr>
      </w:pPr>
      <w:bookmarkStart w:id="0" w:name="_GoBack"/>
      <w:bookmarkEnd w:id="0"/>
      <w:r>
        <w:rPr>
          <w:rFonts w:ascii="Arial" w:hAnsi="Arial" w:cs="Arial"/>
          <w:b/>
        </w:rPr>
        <w:t>ACDO/CG/IAIP/047</w:t>
      </w:r>
      <w:r w:rsidR="007A14C9">
        <w:rPr>
          <w:rFonts w:ascii="Arial" w:hAnsi="Arial" w:cs="Arial"/>
          <w:b/>
        </w:rPr>
        <w:t>/2021</w:t>
      </w:r>
    </w:p>
    <w:p w14:paraId="3378921A" w14:textId="77777777" w:rsidR="007A14C9" w:rsidRDefault="007A14C9" w:rsidP="007A14C9">
      <w:pPr>
        <w:jc w:val="both"/>
        <w:rPr>
          <w:rFonts w:ascii="Arial" w:hAnsi="Arial" w:cs="Arial"/>
        </w:rPr>
      </w:pPr>
    </w:p>
    <w:p w14:paraId="3389CDEE" w14:textId="5B1E0B75" w:rsidR="007A14C9" w:rsidRDefault="00EB444B" w:rsidP="007A14C9">
      <w:pPr>
        <w:spacing w:line="276" w:lineRule="auto"/>
        <w:jc w:val="both"/>
        <w:rPr>
          <w:rFonts w:ascii="Arial" w:eastAsia="Arial Unicode MS" w:hAnsi="Arial" w:cs="Arial"/>
          <w:b/>
          <w:sz w:val="22"/>
          <w:szCs w:val="22"/>
          <w:lang w:eastAsia="es-ES"/>
        </w:rPr>
      </w:pPr>
      <w:r>
        <w:rPr>
          <w:rFonts w:ascii="Arial" w:eastAsia="Arial Unicode MS" w:hAnsi="Arial" w:cs="Arial"/>
          <w:b/>
          <w:sz w:val="22"/>
          <w:szCs w:val="22"/>
          <w:lang w:eastAsia="es-ES"/>
        </w:rPr>
        <w:t>A</w:t>
      </w:r>
      <w:r w:rsidR="007A14C9">
        <w:rPr>
          <w:rFonts w:ascii="Arial" w:eastAsia="Arial Unicode MS" w:hAnsi="Arial" w:cs="Arial"/>
          <w:b/>
          <w:sz w:val="22"/>
          <w:szCs w:val="22"/>
          <w:lang w:eastAsia="es-ES"/>
        </w:rPr>
        <w:t xml:space="preserve">CUERDO DEL CONSEJO GENERAL DEL INSTITUTO DE ACCESO A LA INFORMACIÓN PÚBLICA Y PROTECCIÓN DE DATOS PERSONALES, MEDIANTE EL CUAL </w:t>
      </w:r>
      <w:r w:rsidR="00D60B60">
        <w:rPr>
          <w:rFonts w:ascii="Arial" w:eastAsia="Arial Unicode MS" w:hAnsi="Arial" w:cs="Arial"/>
          <w:b/>
          <w:sz w:val="22"/>
          <w:szCs w:val="22"/>
          <w:lang w:eastAsia="es-ES"/>
        </w:rPr>
        <w:t xml:space="preserve">SE </w:t>
      </w:r>
      <w:r w:rsidR="007A14C9">
        <w:rPr>
          <w:rFonts w:ascii="Arial" w:eastAsia="Arial Unicode MS" w:hAnsi="Arial" w:cs="Arial"/>
          <w:b/>
          <w:sz w:val="22"/>
          <w:szCs w:val="22"/>
          <w:lang w:eastAsia="es-ES"/>
        </w:rPr>
        <w:t xml:space="preserve">APRUEBA EL </w:t>
      </w:r>
      <w:r w:rsidR="00E62F76">
        <w:rPr>
          <w:rFonts w:ascii="Arial" w:eastAsia="Arial Unicode MS" w:hAnsi="Arial" w:cs="Arial"/>
          <w:b/>
          <w:sz w:val="22"/>
          <w:szCs w:val="22"/>
          <w:lang w:eastAsia="es-ES"/>
        </w:rPr>
        <w:t xml:space="preserve">DICTAMEN </w:t>
      </w:r>
      <w:r w:rsidR="00A76C3F">
        <w:rPr>
          <w:rFonts w:ascii="Arial" w:eastAsia="Arial Unicode MS" w:hAnsi="Arial" w:cs="Arial"/>
          <w:b/>
          <w:sz w:val="22"/>
          <w:szCs w:val="22"/>
          <w:lang w:eastAsia="es-ES"/>
        </w:rPr>
        <w:t xml:space="preserve">QUE EMITE LA DIRECCIÓN DE GOBIERNO ABIERTO </w:t>
      </w:r>
      <w:r w:rsidR="00ED5896">
        <w:rPr>
          <w:rFonts w:ascii="Arial" w:eastAsia="Arial Unicode MS" w:hAnsi="Arial" w:cs="Arial"/>
          <w:b/>
          <w:sz w:val="22"/>
          <w:szCs w:val="22"/>
          <w:lang w:eastAsia="es-ES"/>
        </w:rPr>
        <w:t>DE</w:t>
      </w:r>
      <w:r w:rsidR="00A76C3F">
        <w:rPr>
          <w:rFonts w:ascii="Arial" w:eastAsia="Arial Unicode MS" w:hAnsi="Arial" w:cs="Arial"/>
          <w:b/>
          <w:sz w:val="22"/>
          <w:szCs w:val="22"/>
          <w:lang w:eastAsia="es-ES"/>
        </w:rPr>
        <w:t xml:space="preserve"> LOS </w:t>
      </w:r>
      <w:r w:rsidR="00D60B60">
        <w:rPr>
          <w:rFonts w:ascii="Arial" w:eastAsia="Arial Unicode MS" w:hAnsi="Arial" w:cs="Arial"/>
          <w:b/>
          <w:sz w:val="22"/>
          <w:szCs w:val="22"/>
          <w:lang w:eastAsia="es-ES"/>
        </w:rPr>
        <w:t>CATÁ</w:t>
      </w:r>
      <w:r w:rsidR="00135DC0">
        <w:rPr>
          <w:rFonts w:ascii="Arial" w:eastAsia="Arial Unicode MS" w:hAnsi="Arial" w:cs="Arial"/>
          <w:b/>
          <w:sz w:val="22"/>
          <w:szCs w:val="22"/>
          <w:lang w:eastAsia="es-ES"/>
        </w:rPr>
        <w:t>LOGO</w:t>
      </w:r>
      <w:r w:rsidR="00E62F76">
        <w:rPr>
          <w:rFonts w:ascii="Arial" w:eastAsia="Arial Unicode MS" w:hAnsi="Arial" w:cs="Arial"/>
          <w:b/>
          <w:sz w:val="22"/>
          <w:szCs w:val="22"/>
          <w:lang w:eastAsia="es-ES"/>
        </w:rPr>
        <w:t>S</w:t>
      </w:r>
      <w:r w:rsidR="00135DC0">
        <w:rPr>
          <w:rFonts w:ascii="Arial" w:eastAsia="Arial Unicode MS" w:hAnsi="Arial" w:cs="Arial"/>
          <w:b/>
          <w:sz w:val="22"/>
          <w:szCs w:val="22"/>
          <w:lang w:eastAsia="es-ES"/>
        </w:rPr>
        <w:t xml:space="preserve"> DE INFORMACIÓN </w:t>
      </w:r>
      <w:r w:rsidR="00577C8E">
        <w:rPr>
          <w:rFonts w:ascii="Arial" w:eastAsia="Arial Unicode MS" w:hAnsi="Arial" w:cs="Arial"/>
          <w:b/>
          <w:sz w:val="22"/>
          <w:szCs w:val="22"/>
          <w:lang w:eastAsia="es-ES"/>
        </w:rPr>
        <w:t>DE INTERÉ</w:t>
      </w:r>
      <w:r w:rsidR="007A14C9">
        <w:rPr>
          <w:rFonts w:ascii="Arial" w:eastAsia="Arial Unicode MS" w:hAnsi="Arial" w:cs="Arial"/>
          <w:b/>
          <w:sz w:val="22"/>
          <w:szCs w:val="22"/>
          <w:lang w:eastAsia="es-ES"/>
        </w:rPr>
        <w:t xml:space="preserve">S PÚBLICO </w:t>
      </w:r>
      <w:r w:rsidR="00135DC0">
        <w:rPr>
          <w:rFonts w:ascii="Arial" w:eastAsia="Arial Unicode MS" w:hAnsi="Arial" w:cs="Arial"/>
          <w:b/>
          <w:sz w:val="22"/>
          <w:szCs w:val="22"/>
          <w:lang w:eastAsia="es-ES"/>
        </w:rPr>
        <w:t>DE</w:t>
      </w:r>
      <w:r w:rsidR="007A14C9">
        <w:rPr>
          <w:rFonts w:ascii="Arial" w:eastAsia="Arial Unicode MS" w:hAnsi="Arial" w:cs="Arial"/>
          <w:b/>
          <w:sz w:val="22"/>
          <w:szCs w:val="22"/>
          <w:lang w:eastAsia="es-ES"/>
        </w:rPr>
        <w:t xml:space="preserve"> LOS SUJETOS OBLIGADOS DEL ESTADO DE OAXACA CORRESPONDIENTE AL EJERCICIO 2020</w:t>
      </w:r>
    </w:p>
    <w:p w14:paraId="48ADFF2C" w14:textId="77777777" w:rsidR="007A14C9" w:rsidRPr="00ED5896" w:rsidRDefault="007A14C9" w:rsidP="007A14C9">
      <w:pPr>
        <w:spacing w:line="276" w:lineRule="auto"/>
        <w:jc w:val="both"/>
        <w:rPr>
          <w:rFonts w:ascii="Arial" w:eastAsia="Arial Unicode MS" w:hAnsi="Arial" w:cs="Arial"/>
          <w:b/>
          <w:sz w:val="21"/>
          <w:szCs w:val="21"/>
          <w:lang w:eastAsia="es-ES"/>
        </w:rPr>
      </w:pPr>
    </w:p>
    <w:p w14:paraId="56232169" w14:textId="77777777" w:rsidR="007A14C9" w:rsidRDefault="007A14C9" w:rsidP="007A14C9">
      <w:pPr>
        <w:spacing w:line="276" w:lineRule="auto"/>
        <w:jc w:val="center"/>
        <w:rPr>
          <w:rFonts w:ascii="Arial" w:eastAsia="Arial Unicode MS" w:hAnsi="Arial" w:cs="Arial"/>
          <w:b/>
          <w:sz w:val="21"/>
          <w:szCs w:val="21"/>
          <w:lang w:eastAsia="es-ES"/>
        </w:rPr>
      </w:pPr>
      <w:r>
        <w:rPr>
          <w:rFonts w:ascii="Arial" w:eastAsia="Arial Unicode MS" w:hAnsi="Arial" w:cs="Arial"/>
          <w:b/>
          <w:sz w:val="21"/>
          <w:szCs w:val="21"/>
          <w:lang w:eastAsia="es-ES"/>
        </w:rPr>
        <w:t>CONSIDERANDO</w:t>
      </w:r>
    </w:p>
    <w:p w14:paraId="1CC59E9A" w14:textId="77777777" w:rsidR="007A14C9" w:rsidRDefault="007A14C9" w:rsidP="007A14C9">
      <w:pPr>
        <w:spacing w:line="276" w:lineRule="auto"/>
        <w:jc w:val="both"/>
        <w:rPr>
          <w:rFonts w:ascii="Arial" w:eastAsia="Arial Unicode MS" w:hAnsi="Arial" w:cs="Arial"/>
          <w:sz w:val="21"/>
          <w:szCs w:val="21"/>
          <w:lang w:eastAsia="es-ES"/>
        </w:rPr>
      </w:pPr>
    </w:p>
    <w:p w14:paraId="64622B2C" w14:textId="77777777" w:rsidR="007A14C9" w:rsidRDefault="007A14C9" w:rsidP="007A14C9">
      <w:pPr>
        <w:spacing w:line="276" w:lineRule="auto"/>
        <w:jc w:val="both"/>
        <w:rPr>
          <w:rFonts w:ascii="Arial" w:eastAsia="Arial Unicode MS" w:hAnsi="Arial" w:cs="Arial"/>
          <w:sz w:val="21"/>
          <w:szCs w:val="21"/>
        </w:rPr>
      </w:pPr>
      <w:r>
        <w:rPr>
          <w:rFonts w:ascii="Arial" w:eastAsia="Arial Unicode MS" w:hAnsi="Arial" w:cs="Arial"/>
          <w:b/>
          <w:sz w:val="21"/>
          <w:szCs w:val="21"/>
        </w:rPr>
        <w:t xml:space="preserve">PRIMERO. </w:t>
      </w:r>
      <w:r>
        <w:rPr>
          <w:rFonts w:ascii="Arial" w:eastAsia="Arial Unicode MS" w:hAnsi="Arial" w:cs="Arial"/>
          <w:sz w:val="21"/>
          <w:szCs w:val="21"/>
        </w:rPr>
        <w:t>Que el artículo 70, fracción XLVIII, de la Ley General de Transparencia y Acceso a la Información Pública, establece la obligación de los Sujetos obligados de poner a disposición y mantener actualizada cualquier otra información que sea de utilidad o se considere relevante, además de la que, con base en la información estadística, responda a las preguntas hechas con más frecuencia por el público.</w:t>
      </w:r>
    </w:p>
    <w:p w14:paraId="251F1DCA" w14:textId="77777777" w:rsidR="007A14C9" w:rsidRDefault="007A14C9" w:rsidP="007A14C9">
      <w:pPr>
        <w:spacing w:line="276" w:lineRule="auto"/>
        <w:jc w:val="both"/>
        <w:rPr>
          <w:rFonts w:ascii="Arial" w:eastAsia="Arial Unicode MS" w:hAnsi="Arial" w:cs="Arial"/>
          <w:sz w:val="21"/>
          <w:szCs w:val="21"/>
        </w:rPr>
      </w:pPr>
    </w:p>
    <w:p w14:paraId="35C689F4" w14:textId="77777777" w:rsidR="007A14C9" w:rsidRDefault="007A14C9" w:rsidP="007A14C9">
      <w:pPr>
        <w:spacing w:line="276" w:lineRule="auto"/>
        <w:jc w:val="both"/>
        <w:rPr>
          <w:rFonts w:ascii="Arial" w:eastAsia="Arial Unicode MS" w:hAnsi="Arial" w:cs="Arial"/>
          <w:sz w:val="21"/>
          <w:szCs w:val="21"/>
        </w:rPr>
      </w:pPr>
      <w:r>
        <w:rPr>
          <w:rFonts w:ascii="Arial" w:eastAsia="Arial Unicode MS" w:hAnsi="Arial" w:cs="Arial"/>
          <w:b/>
          <w:sz w:val="21"/>
          <w:szCs w:val="21"/>
        </w:rPr>
        <w:t>SEGUNDO.</w:t>
      </w:r>
      <w:r>
        <w:rPr>
          <w:rFonts w:ascii="Arial" w:eastAsia="Arial Unicode MS" w:hAnsi="Arial" w:cs="Arial"/>
          <w:sz w:val="21"/>
          <w:szCs w:val="21"/>
        </w:rPr>
        <w:t xml:space="preserve"> Que el artículo 58 de la Ley General señala que el Sistema Nacional emitirá los criterios para evaluar la efectividad de la política de la transparencia proactiva, considerando como base, la reutilización que la sociedad haga a la información.</w:t>
      </w:r>
    </w:p>
    <w:p w14:paraId="1CA718A1" w14:textId="77777777" w:rsidR="007A14C9" w:rsidRDefault="007A14C9" w:rsidP="007A14C9">
      <w:pPr>
        <w:spacing w:line="276" w:lineRule="auto"/>
        <w:jc w:val="both"/>
        <w:rPr>
          <w:rFonts w:ascii="Arial" w:eastAsia="Arial Unicode MS" w:hAnsi="Arial" w:cs="Arial"/>
          <w:sz w:val="21"/>
          <w:szCs w:val="21"/>
        </w:rPr>
      </w:pPr>
    </w:p>
    <w:p w14:paraId="51689ACD" w14:textId="2CB939A6" w:rsidR="007A14C9" w:rsidRDefault="007A14C9" w:rsidP="007A14C9">
      <w:pPr>
        <w:spacing w:line="276" w:lineRule="auto"/>
        <w:jc w:val="both"/>
        <w:rPr>
          <w:rFonts w:ascii="Arial" w:eastAsia="Arial Unicode MS" w:hAnsi="Arial" w:cs="Arial"/>
          <w:sz w:val="21"/>
          <w:szCs w:val="21"/>
        </w:rPr>
      </w:pPr>
      <w:r>
        <w:rPr>
          <w:rFonts w:ascii="Arial" w:eastAsia="Arial Unicode MS" w:hAnsi="Arial" w:cs="Arial"/>
          <w:b/>
          <w:sz w:val="21"/>
          <w:szCs w:val="21"/>
        </w:rPr>
        <w:t>TERCERO.</w:t>
      </w:r>
      <w:r>
        <w:rPr>
          <w:rFonts w:ascii="Arial" w:eastAsia="Arial Unicode MS" w:hAnsi="Arial" w:cs="Arial"/>
          <w:sz w:val="21"/>
          <w:szCs w:val="21"/>
        </w:rPr>
        <w:t xml:space="preserve"> Que el artículo 80 de la Ley General prevé que para determinar la información adicional que publicarán los sujetos obligados de manera obligatoria, los Organismos Garantes deberán solicitarles que atendiendo a los Lineamientos que emita el Sistema Nacional de Transparencia, Acceso a la Información y Protección de Datos Personales (SNT), remitan el listado de información que consideren de interés público a fin de que se pueda determinar el catálogo de información que cada</w:t>
      </w:r>
      <w:r w:rsidR="00D60B60">
        <w:rPr>
          <w:rFonts w:ascii="Arial" w:eastAsia="Arial Unicode MS" w:hAnsi="Arial" w:cs="Arial"/>
          <w:sz w:val="21"/>
          <w:szCs w:val="21"/>
        </w:rPr>
        <w:t> S</w:t>
      </w:r>
      <w:r>
        <w:rPr>
          <w:rFonts w:ascii="Arial" w:eastAsia="Arial Unicode MS" w:hAnsi="Arial" w:cs="Arial"/>
          <w:sz w:val="21"/>
          <w:szCs w:val="21"/>
        </w:rPr>
        <w:t xml:space="preserve">ujeto </w:t>
      </w:r>
      <w:r w:rsidR="003C2C3F">
        <w:rPr>
          <w:rFonts w:ascii="Arial" w:eastAsia="Arial Unicode MS" w:hAnsi="Arial" w:cs="Arial"/>
          <w:sz w:val="21"/>
          <w:szCs w:val="21"/>
        </w:rPr>
        <w:t>o</w:t>
      </w:r>
      <w:r>
        <w:rPr>
          <w:rFonts w:ascii="Arial" w:eastAsia="Arial Unicode MS" w:hAnsi="Arial" w:cs="Arial"/>
          <w:sz w:val="21"/>
          <w:szCs w:val="21"/>
        </w:rPr>
        <w:t>bligado deberá publicar como obligación de transparencia.</w:t>
      </w:r>
    </w:p>
    <w:p w14:paraId="35077ACC" w14:textId="77777777" w:rsidR="007A14C9" w:rsidRDefault="007A14C9" w:rsidP="007A14C9">
      <w:pPr>
        <w:spacing w:line="276" w:lineRule="auto"/>
        <w:jc w:val="both"/>
        <w:rPr>
          <w:rFonts w:ascii="Arial" w:eastAsia="Arial Unicode MS" w:hAnsi="Arial" w:cs="Arial"/>
          <w:sz w:val="21"/>
          <w:szCs w:val="21"/>
        </w:rPr>
      </w:pPr>
    </w:p>
    <w:p w14:paraId="7AFEB328" w14:textId="37795A52" w:rsidR="007A14C9" w:rsidRDefault="007A14C9" w:rsidP="007A14C9">
      <w:pPr>
        <w:spacing w:line="276" w:lineRule="auto"/>
        <w:jc w:val="both"/>
        <w:rPr>
          <w:rFonts w:ascii="Arial" w:eastAsia="Arial Unicode MS" w:hAnsi="Arial" w:cs="Arial"/>
          <w:sz w:val="21"/>
          <w:szCs w:val="21"/>
        </w:rPr>
      </w:pPr>
      <w:r>
        <w:rPr>
          <w:rFonts w:ascii="Arial" w:eastAsia="Arial Unicode MS" w:hAnsi="Arial" w:cs="Arial"/>
          <w:b/>
          <w:sz w:val="21"/>
          <w:szCs w:val="21"/>
        </w:rPr>
        <w:t>CUARTO.</w:t>
      </w:r>
      <w:r>
        <w:rPr>
          <w:rFonts w:ascii="Arial" w:eastAsia="Arial Unicode MS" w:hAnsi="Arial" w:cs="Arial"/>
          <w:sz w:val="21"/>
          <w:szCs w:val="21"/>
        </w:rPr>
        <w:t xml:space="preserve"> Que el décimo primero, décimo segundo, décimo tercero y décimo cuarto de los Lineamientos para determinar los catálogos y publicación de Información de Interés Público; y para la emisión y evaluación de Políticas de Transparencia Proactiva establecen el procedimiento por el </w:t>
      </w:r>
      <w:r w:rsidR="000E0344">
        <w:rPr>
          <w:rFonts w:ascii="Arial" w:eastAsia="Arial Unicode MS" w:hAnsi="Arial" w:cs="Arial"/>
          <w:sz w:val="21"/>
          <w:szCs w:val="21"/>
        </w:rPr>
        <w:t>cual</w:t>
      </w:r>
      <w:r>
        <w:rPr>
          <w:rFonts w:ascii="Arial" w:eastAsia="Arial Unicode MS" w:hAnsi="Arial" w:cs="Arial"/>
          <w:sz w:val="21"/>
          <w:szCs w:val="21"/>
        </w:rPr>
        <w:t xml:space="preserve"> el Organismo Garante deberá solicitar y dictaminar la información de interés púbico de los Sujetos </w:t>
      </w:r>
      <w:r w:rsidR="000E0344">
        <w:rPr>
          <w:rFonts w:ascii="Arial" w:eastAsia="Arial Unicode MS" w:hAnsi="Arial" w:cs="Arial"/>
          <w:sz w:val="21"/>
          <w:szCs w:val="21"/>
        </w:rPr>
        <w:t>O</w:t>
      </w:r>
      <w:r>
        <w:rPr>
          <w:rFonts w:ascii="Arial" w:eastAsia="Arial Unicode MS" w:hAnsi="Arial" w:cs="Arial"/>
          <w:sz w:val="21"/>
          <w:szCs w:val="21"/>
        </w:rPr>
        <w:t>bligados.</w:t>
      </w:r>
    </w:p>
    <w:p w14:paraId="182BF793" w14:textId="77777777" w:rsidR="007A14C9" w:rsidRDefault="007A14C9" w:rsidP="007A14C9">
      <w:pPr>
        <w:spacing w:line="276" w:lineRule="auto"/>
        <w:jc w:val="both"/>
        <w:rPr>
          <w:rFonts w:ascii="Arial" w:eastAsia="Arial Unicode MS" w:hAnsi="Arial" w:cs="Arial"/>
          <w:sz w:val="21"/>
          <w:szCs w:val="21"/>
        </w:rPr>
      </w:pPr>
    </w:p>
    <w:p w14:paraId="69C5878F" w14:textId="60C122F3" w:rsidR="007A14C9" w:rsidRDefault="007A14C9" w:rsidP="007A14C9">
      <w:pPr>
        <w:spacing w:line="276" w:lineRule="auto"/>
        <w:jc w:val="both"/>
        <w:rPr>
          <w:rFonts w:ascii="Arial" w:eastAsia="Arial Unicode MS" w:hAnsi="Arial" w:cs="Arial"/>
          <w:sz w:val="21"/>
          <w:szCs w:val="21"/>
        </w:rPr>
      </w:pPr>
      <w:r>
        <w:rPr>
          <w:rFonts w:ascii="Arial" w:eastAsia="Arial Unicode MS" w:hAnsi="Arial" w:cs="Arial"/>
          <w:b/>
          <w:sz w:val="21"/>
          <w:szCs w:val="21"/>
        </w:rPr>
        <w:t>QUINTO.</w:t>
      </w:r>
      <w:r>
        <w:rPr>
          <w:rFonts w:ascii="Arial" w:eastAsia="Arial Unicode MS" w:hAnsi="Arial" w:cs="Arial"/>
          <w:sz w:val="21"/>
          <w:szCs w:val="21"/>
        </w:rPr>
        <w:t xml:space="preserve"> Que el</w:t>
      </w:r>
      <w:r>
        <w:t xml:space="preserve"> </w:t>
      </w:r>
      <w:r>
        <w:rPr>
          <w:rFonts w:ascii="Arial" w:eastAsia="Arial Unicode MS" w:hAnsi="Arial" w:cs="Arial"/>
          <w:sz w:val="21"/>
          <w:szCs w:val="21"/>
        </w:rPr>
        <w:t xml:space="preserve">Artículo quinto fracción XXXV, del Reglamento Interno del Instituto de Acceso a la Información Pública y Protección de Datos Personales del Estado de Oaxaca, establece que es facultad del Consejo General del Instituto aprobar el listado de información de interés público y políticas de transparencia proactiva de los Sujetos </w:t>
      </w:r>
      <w:r w:rsidR="000E0344">
        <w:rPr>
          <w:rFonts w:ascii="Arial" w:eastAsia="Arial Unicode MS" w:hAnsi="Arial" w:cs="Arial"/>
          <w:sz w:val="21"/>
          <w:szCs w:val="21"/>
        </w:rPr>
        <w:t>O</w:t>
      </w:r>
      <w:r>
        <w:rPr>
          <w:rFonts w:ascii="Arial" w:eastAsia="Arial Unicode MS" w:hAnsi="Arial" w:cs="Arial"/>
          <w:sz w:val="21"/>
          <w:szCs w:val="21"/>
        </w:rPr>
        <w:t>bligados.</w:t>
      </w:r>
    </w:p>
    <w:p w14:paraId="59EE6BE3" w14:textId="77777777" w:rsidR="007A14C9" w:rsidRDefault="007A14C9" w:rsidP="007A14C9">
      <w:pPr>
        <w:tabs>
          <w:tab w:val="left" w:pos="7780"/>
        </w:tabs>
        <w:spacing w:line="276" w:lineRule="auto"/>
        <w:jc w:val="both"/>
        <w:rPr>
          <w:rFonts w:ascii="Arial" w:eastAsia="Arial Unicode MS" w:hAnsi="Arial" w:cs="Arial"/>
          <w:sz w:val="21"/>
          <w:szCs w:val="21"/>
        </w:rPr>
      </w:pPr>
      <w:r>
        <w:rPr>
          <w:rFonts w:ascii="Arial" w:eastAsia="Arial Unicode MS" w:hAnsi="Arial" w:cs="Arial"/>
          <w:sz w:val="21"/>
          <w:szCs w:val="21"/>
        </w:rPr>
        <w:tab/>
      </w:r>
    </w:p>
    <w:p w14:paraId="2AADD5BB" w14:textId="77777777" w:rsidR="007A14C9" w:rsidRDefault="007A14C9" w:rsidP="007A14C9">
      <w:pPr>
        <w:spacing w:line="276" w:lineRule="auto"/>
        <w:jc w:val="both"/>
        <w:rPr>
          <w:rFonts w:ascii="Arial" w:eastAsia="Arial Unicode MS" w:hAnsi="Arial" w:cs="Arial"/>
          <w:sz w:val="21"/>
          <w:szCs w:val="21"/>
        </w:rPr>
      </w:pPr>
      <w:r>
        <w:rPr>
          <w:rFonts w:ascii="Arial" w:eastAsia="Arial Unicode MS" w:hAnsi="Arial" w:cs="Arial"/>
          <w:b/>
          <w:sz w:val="21"/>
          <w:szCs w:val="21"/>
        </w:rPr>
        <w:t>SEXTO.</w:t>
      </w:r>
      <w:r>
        <w:rPr>
          <w:rFonts w:ascii="Arial" w:eastAsia="Arial Unicode MS" w:hAnsi="Arial" w:cs="Arial"/>
          <w:sz w:val="21"/>
          <w:szCs w:val="21"/>
        </w:rPr>
        <w:t xml:space="preserve"> Que el día seis de enero de dos mil veintiuno, mediante oficio </w:t>
      </w:r>
      <w:r>
        <w:rPr>
          <w:rFonts w:ascii="Arial" w:eastAsia="Arial Unicode MS" w:hAnsi="Arial" w:cs="Arial"/>
          <w:b/>
          <w:bCs/>
          <w:sz w:val="21"/>
          <w:szCs w:val="21"/>
        </w:rPr>
        <w:t>IAPPDP/DGA/003/2021</w:t>
      </w:r>
      <w:r>
        <w:rPr>
          <w:rFonts w:ascii="Arial" w:eastAsia="Arial Unicode MS" w:hAnsi="Arial" w:cs="Arial"/>
          <w:sz w:val="21"/>
          <w:szCs w:val="21"/>
        </w:rPr>
        <w:t xml:space="preserve"> de la Dirección de Gobierno Abierto, el Instituto de Acceso a la Información Pública y Protección de Datos Personales del Estado de Oaxaca giró el requerimiento a todos los Sujetos obligados del Estado de Oaxaca para que a más tardar el treinta y uno de enero de dos mil veintiuno, remitieran el listado de información de interés público susceptible de ser dictaminado como tal, por el Organismo Garante. </w:t>
      </w:r>
    </w:p>
    <w:p w14:paraId="69ED40D8" w14:textId="77777777" w:rsidR="007A14C9" w:rsidRDefault="007A14C9" w:rsidP="007A14C9">
      <w:pPr>
        <w:spacing w:line="276" w:lineRule="auto"/>
        <w:jc w:val="both"/>
        <w:rPr>
          <w:rFonts w:ascii="Arial" w:eastAsia="Arial Unicode MS" w:hAnsi="Arial" w:cs="Arial"/>
          <w:sz w:val="21"/>
          <w:szCs w:val="21"/>
        </w:rPr>
      </w:pPr>
    </w:p>
    <w:p w14:paraId="4DDD9D79" w14:textId="77777777" w:rsidR="007A14C9" w:rsidRDefault="007A14C9" w:rsidP="007A14C9">
      <w:pPr>
        <w:spacing w:line="276" w:lineRule="auto"/>
        <w:jc w:val="both"/>
        <w:rPr>
          <w:rFonts w:ascii="Arial" w:eastAsia="Arial Unicode MS" w:hAnsi="Arial" w:cs="Arial"/>
          <w:sz w:val="21"/>
          <w:szCs w:val="21"/>
        </w:rPr>
      </w:pPr>
    </w:p>
    <w:p w14:paraId="49EF003A" w14:textId="14606F17" w:rsidR="007A14C9" w:rsidRDefault="007A14C9" w:rsidP="007A14C9">
      <w:pPr>
        <w:spacing w:line="276" w:lineRule="auto"/>
        <w:jc w:val="both"/>
        <w:rPr>
          <w:rFonts w:ascii="Arial" w:eastAsia="Arial Unicode MS" w:hAnsi="Arial" w:cs="Arial"/>
          <w:sz w:val="21"/>
          <w:szCs w:val="21"/>
        </w:rPr>
      </w:pPr>
      <w:r>
        <w:rPr>
          <w:rFonts w:ascii="Arial" w:eastAsia="Arial Unicode MS" w:hAnsi="Arial" w:cs="Arial"/>
          <w:b/>
          <w:sz w:val="21"/>
          <w:szCs w:val="21"/>
        </w:rPr>
        <w:t>SÉPTIMO.</w:t>
      </w:r>
      <w:r>
        <w:rPr>
          <w:rFonts w:ascii="Arial" w:eastAsia="Arial Unicode MS" w:hAnsi="Arial" w:cs="Arial"/>
          <w:sz w:val="21"/>
          <w:szCs w:val="21"/>
        </w:rPr>
        <w:t xml:space="preserve"> Que, agotado el plazo para remitir el listado de información pública para su dictaminación por este Organismo Garante, los Sujetos obligados fueron omisos al requerimiento. Por lo anterior, el día dos de febrero de dos mil veintiuno, mediante oficio IAIPPDP/DGA/016/2021 de la Dirección de Gobierno Abierto, se otorgó una </w:t>
      </w:r>
      <w:r w:rsidR="000E0344">
        <w:rPr>
          <w:rFonts w:ascii="Arial" w:eastAsia="Arial Unicode MS" w:hAnsi="Arial" w:cs="Arial"/>
          <w:sz w:val="21"/>
          <w:szCs w:val="21"/>
        </w:rPr>
        <w:t>prórroga</w:t>
      </w:r>
      <w:r>
        <w:rPr>
          <w:rFonts w:ascii="Arial" w:eastAsia="Arial Unicode MS" w:hAnsi="Arial" w:cs="Arial"/>
          <w:sz w:val="21"/>
          <w:szCs w:val="21"/>
        </w:rPr>
        <w:t xml:space="preserve"> para que los Sujetos obligados faltantes, remitieran a más tardar el veintiséis de febrero de dos mil veintiuno su listado de información de interés público.</w:t>
      </w:r>
    </w:p>
    <w:p w14:paraId="70E87FAB" w14:textId="77777777" w:rsidR="007A14C9" w:rsidRDefault="007A14C9" w:rsidP="007A14C9">
      <w:pPr>
        <w:spacing w:line="276" w:lineRule="auto"/>
        <w:jc w:val="both"/>
        <w:rPr>
          <w:rFonts w:ascii="Arial" w:eastAsia="Arial Unicode MS" w:hAnsi="Arial" w:cs="Arial"/>
          <w:sz w:val="21"/>
          <w:szCs w:val="21"/>
        </w:rPr>
      </w:pPr>
    </w:p>
    <w:p w14:paraId="2276B1B8" w14:textId="0D1D8522" w:rsidR="007A14C9" w:rsidRDefault="007A14C9" w:rsidP="007A14C9">
      <w:pPr>
        <w:spacing w:line="276" w:lineRule="auto"/>
        <w:jc w:val="both"/>
        <w:rPr>
          <w:rFonts w:ascii="Arial" w:eastAsia="Arial Unicode MS" w:hAnsi="Arial" w:cs="Arial"/>
          <w:sz w:val="21"/>
          <w:szCs w:val="21"/>
        </w:rPr>
      </w:pPr>
      <w:r>
        <w:rPr>
          <w:rFonts w:ascii="Arial" w:eastAsia="Arial Unicode MS" w:hAnsi="Arial" w:cs="Arial"/>
          <w:b/>
          <w:sz w:val="21"/>
          <w:szCs w:val="21"/>
        </w:rPr>
        <w:t>OCTAVO.</w:t>
      </w:r>
      <w:r>
        <w:rPr>
          <w:rFonts w:ascii="Arial" w:eastAsia="Arial Unicode MS" w:hAnsi="Arial" w:cs="Arial"/>
          <w:sz w:val="21"/>
          <w:szCs w:val="21"/>
        </w:rPr>
        <w:t xml:space="preserve"> Que, en respuesta a la prórroga otorgada a los Sujetos obligados para remitir al Organismo Garante su listado de información pública, treinta y </w:t>
      </w:r>
      <w:r w:rsidR="004D2EEE">
        <w:rPr>
          <w:rFonts w:ascii="Arial" w:eastAsia="Arial Unicode MS" w:hAnsi="Arial" w:cs="Arial"/>
          <w:sz w:val="21"/>
          <w:szCs w:val="21"/>
        </w:rPr>
        <w:t>ocho</w:t>
      </w:r>
      <w:r>
        <w:rPr>
          <w:rFonts w:ascii="Arial" w:eastAsia="Arial Unicode MS" w:hAnsi="Arial" w:cs="Arial"/>
          <w:sz w:val="21"/>
          <w:szCs w:val="21"/>
        </w:rPr>
        <w:t xml:space="preserve"> Sujetos obligados remitieron listados de información considerada de interés público o notificaron carecer de información que reuniera las características de información pública relevante.</w:t>
      </w:r>
    </w:p>
    <w:p w14:paraId="3E8C9737" w14:textId="77777777" w:rsidR="007A14C9" w:rsidRDefault="007A14C9" w:rsidP="007A14C9">
      <w:pPr>
        <w:spacing w:line="276" w:lineRule="auto"/>
        <w:jc w:val="both"/>
        <w:rPr>
          <w:rFonts w:ascii="Arial" w:eastAsia="Arial Unicode MS" w:hAnsi="Arial" w:cs="Arial"/>
          <w:sz w:val="21"/>
          <w:szCs w:val="21"/>
        </w:rPr>
      </w:pPr>
    </w:p>
    <w:p w14:paraId="3291FBBD" w14:textId="5AA218FC" w:rsidR="007A14C9" w:rsidRDefault="007A14C9" w:rsidP="007A14C9">
      <w:pPr>
        <w:spacing w:line="276" w:lineRule="auto"/>
        <w:jc w:val="both"/>
        <w:rPr>
          <w:rFonts w:ascii="Arial" w:eastAsia="Arial Unicode MS" w:hAnsi="Arial" w:cs="Arial"/>
          <w:sz w:val="21"/>
          <w:szCs w:val="21"/>
        </w:rPr>
      </w:pPr>
      <w:r>
        <w:rPr>
          <w:rFonts w:ascii="Arial" w:eastAsia="Arial Unicode MS" w:hAnsi="Arial" w:cs="Arial"/>
          <w:b/>
          <w:sz w:val="21"/>
          <w:szCs w:val="21"/>
        </w:rPr>
        <w:lastRenderedPageBreak/>
        <w:t>NOVENO.</w:t>
      </w:r>
      <w:r>
        <w:rPr>
          <w:rFonts w:ascii="Arial" w:eastAsia="Arial Unicode MS" w:hAnsi="Arial" w:cs="Arial"/>
          <w:sz w:val="21"/>
          <w:szCs w:val="21"/>
        </w:rPr>
        <w:t xml:space="preserve"> Que el treinta y uno de mayo de dos mil veintiuno, el Instituto de Acceso a la Información Pública y Protección de Datos Personales del Estado de Oaxaca, mediante oficio IAIPPDP/DGA/057/2021 de la Dirección de Gobierno Abierto, envió un último requerimiento a los Sujetos </w:t>
      </w:r>
      <w:r w:rsidR="00CC259C">
        <w:rPr>
          <w:rFonts w:ascii="Arial" w:eastAsia="Arial Unicode MS" w:hAnsi="Arial" w:cs="Arial"/>
          <w:sz w:val="21"/>
          <w:szCs w:val="21"/>
        </w:rPr>
        <w:t>o</w:t>
      </w:r>
      <w:r>
        <w:rPr>
          <w:rFonts w:ascii="Arial" w:eastAsia="Arial Unicode MS" w:hAnsi="Arial" w:cs="Arial"/>
          <w:sz w:val="21"/>
          <w:szCs w:val="21"/>
        </w:rPr>
        <w:t xml:space="preserve">bligados del Estado de Oaxaca para que a </w:t>
      </w:r>
      <w:r w:rsidR="00DA289B">
        <w:rPr>
          <w:rFonts w:ascii="Arial" w:eastAsia="Arial Unicode MS" w:hAnsi="Arial" w:cs="Arial"/>
          <w:sz w:val="21"/>
          <w:szCs w:val="21"/>
        </w:rPr>
        <w:t>más</w:t>
      </w:r>
      <w:r>
        <w:rPr>
          <w:rFonts w:ascii="Arial" w:eastAsia="Arial Unicode MS" w:hAnsi="Arial" w:cs="Arial"/>
          <w:sz w:val="21"/>
          <w:szCs w:val="21"/>
        </w:rPr>
        <w:t xml:space="preserve"> tardar el día cuatro de junio de dos mil veintiuno, remitieran su listado de información de interés público, con la finalidad de incluirlos en el proceso de dictaminación realizado por el Organismo Garante. </w:t>
      </w:r>
    </w:p>
    <w:p w14:paraId="25734493" w14:textId="77777777" w:rsidR="007A14C9" w:rsidRDefault="007A14C9" w:rsidP="007A14C9">
      <w:pPr>
        <w:spacing w:line="276" w:lineRule="auto"/>
        <w:jc w:val="both"/>
        <w:rPr>
          <w:rFonts w:ascii="Arial" w:eastAsia="Arial Unicode MS" w:hAnsi="Arial" w:cs="Arial"/>
          <w:sz w:val="21"/>
          <w:szCs w:val="21"/>
        </w:rPr>
      </w:pPr>
    </w:p>
    <w:p w14:paraId="521A76BF" w14:textId="6DFC9B90" w:rsidR="007A14C9" w:rsidRDefault="007A14C9" w:rsidP="007A14C9">
      <w:pPr>
        <w:spacing w:line="276" w:lineRule="auto"/>
        <w:jc w:val="both"/>
        <w:rPr>
          <w:rFonts w:ascii="Arial" w:eastAsia="Arial Unicode MS" w:hAnsi="Arial" w:cs="Arial"/>
          <w:sz w:val="21"/>
          <w:szCs w:val="21"/>
        </w:rPr>
      </w:pPr>
      <w:r>
        <w:rPr>
          <w:rFonts w:ascii="Arial" w:eastAsia="Arial Unicode MS" w:hAnsi="Arial" w:cs="Arial"/>
          <w:b/>
          <w:bCs/>
          <w:sz w:val="21"/>
          <w:szCs w:val="21"/>
        </w:rPr>
        <w:t>DÉCIMO.</w:t>
      </w:r>
      <w:r>
        <w:rPr>
          <w:rFonts w:ascii="Arial" w:eastAsia="Arial Unicode MS" w:hAnsi="Arial" w:cs="Arial"/>
          <w:sz w:val="21"/>
          <w:szCs w:val="21"/>
        </w:rPr>
        <w:t xml:space="preserve"> Que, agotado los plazos conferidos por el Organismo Garante, se recibieron respuesta de otros veinticinco Sujetos obligados. Dando un total de 6</w:t>
      </w:r>
      <w:r w:rsidR="004D2EEE">
        <w:rPr>
          <w:rFonts w:ascii="Arial" w:eastAsia="Arial Unicode MS" w:hAnsi="Arial" w:cs="Arial"/>
          <w:sz w:val="21"/>
          <w:szCs w:val="21"/>
        </w:rPr>
        <w:t>3</w:t>
      </w:r>
      <w:r>
        <w:rPr>
          <w:rFonts w:ascii="Arial" w:eastAsia="Arial Unicode MS" w:hAnsi="Arial" w:cs="Arial"/>
          <w:sz w:val="21"/>
          <w:szCs w:val="21"/>
        </w:rPr>
        <w:t xml:space="preserve"> respuestas al requerimiento de listados de información de interés público. </w:t>
      </w:r>
    </w:p>
    <w:p w14:paraId="5C4A51D4" w14:textId="77777777" w:rsidR="007A14C9" w:rsidRDefault="007A14C9" w:rsidP="007A14C9">
      <w:pPr>
        <w:spacing w:line="276" w:lineRule="auto"/>
        <w:jc w:val="both"/>
        <w:rPr>
          <w:rFonts w:ascii="Arial" w:eastAsia="Arial Unicode MS" w:hAnsi="Arial" w:cs="Arial"/>
          <w:sz w:val="21"/>
          <w:szCs w:val="21"/>
        </w:rPr>
      </w:pPr>
    </w:p>
    <w:p w14:paraId="2A32270E" w14:textId="2AB20F8F" w:rsidR="007A14C9" w:rsidRDefault="007A14C9" w:rsidP="007A14C9">
      <w:pPr>
        <w:spacing w:line="276" w:lineRule="auto"/>
        <w:jc w:val="both"/>
        <w:rPr>
          <w:rFonts w:ascii="Arial" w:eastAsia="Arial Unicode MS" w:hAnsi="Arial" w:cs="Arial"/>
          <w:sz w:val="21"/>
          <w:szCs w:val="21"/>
        </w:rPr>
      </w:pPr>
      <w:r>
        <w:rPr>
          <w:rFonts w:ascii="Arial" w:eastAsia="Arial Unicode MS" w:hAnsi="Arial" w:cs="Arial"/>
          <w:b/>
          <w:bCs/>
          <w:sz w:val="21"/>
          <w:szCs w:val="21"/>
        </w:rPr>
        <w:t xml:space="preserve">DÉCIMO PRIMERO. </w:t>
      </w:r>
      <w:r>
        <w:rPr>
          <w:rFonts w:ascii="Arial" w:eastAsia="Arial Unicode MS" w:hAnsi="Arial" w:cs="Arial"/>
          <w:sz w:val="21"/>
          <w:szCs w:val="21"/>
        </w:rPr>
        <w:t xml:space="preserve">Que, </w:t>
      </w:r>
      <w:r w:rsidR="00CC259C">
        <w:rPr>
          <w:rFonts w:ascii="Arial" w:eastAsia="Arial Unicode MS" w:hAnsi="Arial" w:cs="Arial"/>
          <w:sz w:val="21"/>
          <w:szCs w:val="21"/>
        </w:rPr>
        <w:t xml:space="preserve">una </w:t>
      </w:r>
      <w:r>
        <w:rPr>
          <w:rFonts w:ascii="Arial" w:eastAsia="Arial Unicode MS" w:hAnsi="Arial" w:cs="Arial"/>
          <w:sz w:val="21"/>
          <w:szCs w:val="21"/>
        </w:rPr>
        <w:t xml:space="preserve">vez recibidas las respuestas de los diferentes Sujetos obligados y, considerando los supuestos normativos establecidos en los Lineamientos para determinar los catálogos y publicación de Información de Interés Público y para la </w:t>
      </w:r>
      <w:r w:rsidRPr="00CC259C">
        <w:rPr>
          <w:rFonts w:ascii="Arial" w:eastAsia="Arial Unicode MS" w:hAnsi="Arial" w:cs="Arial"/>
          <w:sz w:val="21"/>
          <w:szCs w:val="21"/>
        </w:rPr>
        <w:t>emisión y evaluación</w:t>
      </w:r>
      <w:r>
        <w:rPr>
          <w:rFonts w:ascii="Arial" w:eastAsia="Arial Unicode MS" w:hAnsi="Arial" w:cs="Arial"/>
          <w:sz w:val="21"/>
          <w:szCs w:val="21"/>
        </w:rPr>
        <w:t xml:space="preserve"> de Políticas de Transparencia Proactiva, la Dirección de Gobierno Abierto realizó el proceso de </w:t>
      </w:r>
      <w:proofErr w:type="spellStart"/>
      <w:r>
        <w:rPr>
          <w:rFonts w:ascii="Arial" w:eastAsia="Arial Unicode MS" w:hAnsi="Arial" w:cs="Arial"/>
          <w:sz w:val="21"/>
          <w:szCs w:val="21"/>
        </w:rPr>
        <w:t>Dictaminación</w:t>
      </w:r>
      <w:proofErr w:type="spellEnd"/>
      <w:r>
        <w:rPr>
          <w:rFonts w:ascii="Arial" w:eastAsia="Arial Unicode MS" w:hAnsi="Arial" w:cs="Arial"/>
          <w:sz w:val="21"/>
          <w:szCs w:val="21"/>
        </w:rPr>
        <w:t xml:space="preserve"> </w:t>
      </w:r>
      <w:r w:rsidR="003C2C3F">
        <w:rPr>
          <w:rFonts w:ascii="Arial" w:eastAsia="Arial Unicode MS" w:hAnsi="Arial" w:cs="Arial"/>
          <w:sz w:val="21"/>
          <w:szCs w:val="21"/>
        </w:rPr>
        <w:t>de</w:t>
      </w:r>
      <w:r w:rsidR="00E62F76">
        <w:rPr>
          <w:rFonts w:ascii="Arial" w:eastAsia="Arial Unicode MS" w:hAnsi="Arial" w:cs="Arial"/>
          <w:sz w:val="21"/>
          <w:szCs w:val="21"/>
        </w:rPr>
        <w:t xml:space="preserve"> </w:t>
      </w:r>
      <w:r w:rsidR="003C2C3F">
        <w:rPr>
          <w:rFonts w:ascii="Arial" w:eastAsia="Arial Unicode MS" w:hAnsi="Arial" w:cs="Arial"/>
          <w:sz w:val="21"/>
          <w:szCs w:val="21"/>
        </w:rPr>
        <w:t>l</w:t>
      </w:r>
      <w:r w:rsidR="00E62F76">
        <w:rPr>
          <w:rFonts w:ascii="Arial" w:eastAsia="Arial Unicode MS" w:hAnsi="Arial" w:cs="Arial"/>
          <w:sz w:val="21"/>
          <w:szCs w:val="21"/>
        </w:rPr>
        <w:t>os</w:t>
      </w:r>
      <w:r w:rsidR="003C2C3F">
        <w:rPr>
          <w:rFonts w:ascii="Arial" w:eastAsia="Arial Unicode MS" w:hAnsi="Arial" w:cs="Arial"/>
          <w:sz w:val="21"/>
          <w:szCs w:val="21"/>
        </w:rPr>
        <w:t xml:space="preserve"> catálogo</w:t>
      </w:r>
      <w:r w:rsidR="00E62F76">
        <w:rPr>
          <w:rFonts w:ascii="Arial" w:eastAsia="Arial Unicode MS" w:hAnsi="Arial" w:cs="Arial"/>
          <w:sz w:val="21"/>
          <w:szCs w:val="21"/>
        </w:rPr>
        <w:t>s</w:t>
      </w:r>
      <w:r w:rsidR="003C2C3F">
        <w:rPr>
          <w:rFonts w:ascii="Arial" w:eastAsia="Arial Unicode MS" w:hAnsi="Arial" w:cs="Arial"/>
          <w:sz w:val="21"/>
          <w:szCs w:val="21"/>
        </w:rPr>
        <w:t xml:space="preserve"> </w:t>
      </w:r>
      <w:r>
        <w:rPr>
          <w:rFonts w:ascii="Arial" w:eastAsia="Arial Unicode MS" w:hAnsi="Arial" w:cs="Arial"/>
          <w:sz w:val="21"/>
          <w:szCs w:val="21"/>
        </w:rPr>
        <w:t xml:space="preserve">de información de interés público, al fin de ponerlo a consideración del Consejo General del Organismo Garante. </w:t>
      </w:r>
    </w:p>
    <w:p w14:paraId="61111349" w14:textId="77777777" w:rsidR="007A14C9" w:rsidRDefault="007A14C9" w:rsidP="007A14C9">
      <w:pPr>
        <w:spacing w:line="276" w:lineRule="auto"/>
        <w:jc w:val="both"/>
        <w:rPr>
          <w:rFonts w:ascii="Arial" w:eastAsia="Arial Unicode MS" w:hAnsi="Arial" w:cs="Arial"/>
          <w:sz w:val="21"/>
          <w:szCs w:val="21"/>
        </w:rPr>
      </w:pPr>
    </w:p>
    <w:p w14:paraId="671DB122" w14:textId="77777777" w:rsidR="007A14C9" w:rsidRDefault="007A14C9" w:rsidP="007A14C9">
      <w:pPr>
        <w:spacing w:line="276" w:lineRule="auto"/>
        <w:jc w:val="both"/>
        <w:rPr>
          <w:rFonts w:ascii="Arial" w:eastAsia="Arial Unicode MS" w:hAnsi="Arial" w:cs="Arial"/>
          <w:b/>
          <w:sz w:val="21"/>
          <w:szCs w:val="21"/>
        </w:rPr>
      </w:pPr>
      <w:r>
        <w:rPr>
          <w:rFonts w:ascii="Arial" w:eastAsia="Arial Unicode MS" w:hAnsi="Arial" w:cs="Arial"/>
          <w:b/>
          <w:bCs/>
          <w:sz w:val="21"/>
          <w:szCs w:val="21"/>
        </w:rPr>
        <w:t>DÉCIMO SEGUNDO</w:t>
      </w:r>
      <w:r>
        <w:rPr>
          <w:rFonts w:ascii="Arial" w:eastAsia="Arial Unicode MS" w:hAnsi="Arial" w:cs="Arial"/>
          <w:sz w:val="21"/>
          <w:szCs w:val="21"/>
        </w:rPr>
        <w:t xml:space="preserve">. Que, como corolario del proceso de la dictaminación realizado por la Dirección de Gobierno Abierto, se advierte lo siguiente: </w:t>
      </w:r>
    </w:p>
    <w:p w14:paraId="7921487B" w14:textId="77777777" w:rsidR="007A14C9" w:rsidRDefault="007A14C9" w:rsidP="007A14C9">
      <w:pPr>
        <w:spacing w:line="276" w:lineRule="auto"/>
        <w:jc w:val="both"/>
        <w:rPr>
          <w:rFonts w:ascii="Arial" w:eastAsia="Arial Unicode MS" w:hAnsi="Arial" w:cs="Arial"/>
          <w:b/>
          <w:sz w:val="21"/>
          <w:szCs w:val="21"/>
          <w:lang w:eastAsia="es-MX"/>
        </w:rPr>
      </w:pPr>
    </w:p>
    <w:p w14:paraId="0CE67C71" w14:textId="7F677B87" w:rsidR="007A14C9" w:rsidRDefault="007A14C9" w:rsidP="007A14C9">
      <w:pPr>
        <w:spacing w:line="276" w:lineRule="auto"/>
        <w:jc w:val="both"/>
        <w:rPr>
          <w:rFonts w:ascii="Arial" w:eastAsia="Arial Unicode MS" w:hAnsi="Arial" w:cs="Arial"/>
          <w:sz w:val="21"/>
          <w:szCs w:val="21"/>
        </w:rPr>
      </w:pPr>
      <w:r w:rsidRPr="00CC259C">
        <w:rPr>
          <w:rFonts w:ascii="Arial" w:eastAsia="Arial Unicode MS" w:hAnsi="Arial" w:cs="Arial"/>
          <w:b/>
          <w:sz w:val="21"/>
          <w:szCs w:val="21"/>
          <w:lang w:eastAsia="es-MX"/>
        </w:rPr>
        <w:t>DÉCIMO</w:t>
      </w:r>
      <w:r w:rsidR="00CC259C" w:rsidRPr="00CC259C">
        <w:rPr>
          <w:rFonts w:ascii="Arial" w:eastAsia="Arial Unicode MS" w:hAnsi="Arial" w:cs="Arial"/>
          <w:b/>
          <w:sz w:val="21"/>
          <w:szCs w:val="21"/>
          <w:lang w:eastAsia="es-MX"/>
        </w:rPr>
        <w:t xml:space="preserve"> TERCERO</w:t>
      </w:r>
      <w:r w:rsidRPr="00CC259C">
        <w:rPr>
          <w:rFonts w:ascii="Arial" w:eastAsia="Arial Unicode MS" w:hAnsi="Arial" w:cs="Arial"/>
          <w:sz w:val="21"/>
          <w:szCs w:val="21"/>
          <w:lang w:eastAsia="es-MX"/>
        </w:rPr>
        <w:t>.</w:t>
      </w:r>
      <w:r>
        <w:rPr>
          <w:rFonts w:ascii="Arial" w:eastAsia="Arial Unicode MS" w:hAnsi="Arial" w:cs="Arial"/>
          <w:sz w:val="21"/>
          <w:szCs w:val="21"/>
          <w:lang w:eastAsia="es-MX"/>
        </w:rPr>
        <w:t xml:space="preserve"> Que por los considerandos expuestos y con fundamento en</w:t>
      </w:r>
      <w:r>
        <w:t xml:space="preserve"> </w:t>
      </w:r>
      <w:r>
        <w:rPr>
          <w:rFonts w:ascii="Arial" w:eastAsia="Arial Unicode MS" w:hAnsi="Arial" w:cs="Arial"/>
          <w:sz w:val="21"/>
          <w:szCs w:val="21"/>
        </w:rPr>
        <w:t>el artículo 58 de la Ley General; artículo 87 de la Ley de Transparencia y Acceso a la Información Pública para el Estado de Oaxaca; Art.5, fracción XXXVI, del Reglamento Interno del Instituto de Acceso a la Información Pública y Protección de Datos Personales del Estado de Oaxaca este Consejo General, emite el siguiente:</w:t>
      </w:r>
    </w:p>
    <w:p w14:paraId="0140A1F1" w14:textId="77777777" w:rsidR="007A14C9" w:rsidRDefault="007A14C9" w:rsidP="007A14C9">
      <w:pPr>
        <w:spacing w:line="276" w:lineRule="auto"/>
        <w:jc w:val="both"/>
        <w:rPr>
          <w:rFonts w:ascii="Arial" w:eastAsia="Arial Unicode MS" w:hAnsi="Arial" w:cs="Arial"/>
          <w:sz w:val="21"/>
          <w:szCs w:val="21"/>
          <w:lang w:eastAsia="es-MX"/>
        </w:rPr>
      </w:pPr>
    </w:p>
    <w:p w14:paraId="27915872" w14:textId="68D8AF07" w:rsidR="007A14C9" w:rsidRDefault="007A14C9" w:rsidP="007A14C9">
      <w:pPr>
        <w:pStyle w:val="Prrafodelista"/>
        <w:numPr>
          <w:ilvl w:val="0"/>
          <w:numId w:val="30"/>
        </w:numPr>
        <w:spacing w:line="276" w:lineRule="auto"/>
        <w:jc w:val="both"/>
        <w:rPr>
          <w:rFonts w:ascii="Arial" w:eastAsia="Arial Unicode MS" w:hAnsi="Arial" w:cs="Arial"/>
          <w:sz w:val="21"/>
          <w:szCs w:val="21"/>
          <w:lang w:eastAsia="es-MX"/>
        </w:rPr>
      </w:pPr>
      <w:r>
        <w:rPr>
          <w:rFonts w:ascii="Arial" w:eastAsia="Arial Unicode MS" w:hAnsi="Arial" w:cs="Arial"/>
          <w:b/>
          <w:bCs/>
          <w:sz w:val="21"/>
          <w:szCs w:val="21"/>
          <w:lang w:eastAsia="es-MX"/>
        </w:rPr>
        <w:t>6</w:t>
      </w:r>
      <w:r w:rsidR="004D2EEE">
        <w:rPr>
          <w:rFonts w:ascii="Arial" w:eastAsia="Arial Unicode MS" w:hAnsi="Arial" w:cs="Arial"/>
          <w:b/>
          <w:bCs/>
          <w:sz w:val="21"/>
          <w:szCs w:val="21"/>
          <w:lang w:eastAsia="es-MX"/>
        </w:rPr>
        <w:t>3</w:t>
      </w:r>
      <w:r>
        <w:rPr>
          <w:rFonts w:ascii="Arial" w:eastAsia="Arial Unicode MS" w:hAnsi="Arial" w:cs="Arial"/>
          <w:b/>
          <w:bCs/>
          <w:sz w:val="21"/>
          <w:szCs w:val="21"/>
          <w:lang w:eastAsia="es-MX"/>
        </w:rPr>
        <w:t xml:space="preserve"> </w:t>
      </w:r>
      <w:r>
        <w:rPr>
          <w:rFonts w:ascii="Arial" w:eastAsia="Arial Unicode MS" w:hAnsi="Arial" w:cs="Arial"/>
          <w:sz w:val="21"/>
          <w:szCs w:val="21"/>
          <w:lang w:eastAsia="es-MX"/>
        </w:rPr>
        <w:t>sujetos obligados contestaron los requerimientos de información de interés público del Organismo Garante.</w:t>
      </w:r>
    </w:p>
    <w:p w14:paraId="0DFAC23E" w14:textId="0C0BB998" w:rsidR="007A14C9" w:rsidRDefault="007A14C9" w:rsidP="007A14C9">
      <w:pPr>
        <w:pStyle w:val="Prrafodelista"/>
        <w:numPr>
          <w:ilvl w:val="0"/>
          <w:numId w:val="30"/>
        </w:numPr>
        <w:spacing w:line="276" w:lineRule="auto"/>
        <w:jc w:val="both"/>
        <w:rPr>
          <w:rFonts w:ascii="Arial" w:eastAsia="Arial Unicode MS" w:hAnsi="Arial" w:cs="Arial"/>
          <w:sz w:val="21"/>
          <w:szCs w:val="21"/>
          <w:lang w:eastAsia="es-MX"/>
        </w:rPr>
      </w:pPr>
      <w:r>
        <w:rPr>
          <w:rFonts w:ascii="Arial" w:eastAsia="Arial Unicode MS" w:hAnsi="Arial" w:cs="Arial"/>
          <w:sz w:val="21"/>
          <w:szCs w:val="21"/>
          <w:lang w:eastAsia="es-MX"/>
        </w:rPr>
        <w:t xml:space="preserve">De los cuales, </w:t>
      </w:r>
      <w:r>
        <w:rPr>
          <w:rFonts w:ascii="Arial" w:eastAsia="Arial Unicode MS" w:hAnsi="Arial" w:cs="Arial"/>
          <w:b/>
          <w:bCs/>
          <w:sz w:val="21"/>
          <w:szCs w:val="21"/>
          <w:lang w:eastAsia="es-MX"/>
        </w:rPr>
        <w:t>16</w:t>
      </w:r>
      <w:r>
        <w:rPr>
          <w:rFonts w:ascii="Arial" w:eastAsia="Arial Unicode MS" w:hAnsi="Arial" w:cs="Arial"/>
          <w:sz w:val="21"/>
          <w:szCs w:val="21"/>
          <w:lang w:eastAsia="es-MX"/>
        </w:rPr>
        <w:t xml:space="preserve"> remitieron listados de información de interés público susceptible de ser dictaminada por este Organismo Garante y, </w:t>
      </w:r>
      <w:r>
        <w:rPr>
          <w:rFonts w:ascii="Arial" w:eastAsia="Arial Unicode MS" w:hAnsi="Arial" w:cs="Arial"/>
          <w:b/>
          <w:bCs/>
          <w:sz w:val="21"/>
          <w:szCs w:val="21"/>
          <w:lang w:eastAsia="es-MX"/>
        </w:rPr>
        <w:t>4</w:t>
      </w:r>
      <w:r w:rsidR="004D2EEE">
        <w:rPr>
          <w:rFonts w:ascii="Arial" w:eastAsia="Arial Unicode MS" w:hAnsi="Arial" w:cs="Arial"/>
          <w:b/>
          <w:bCs/>
          <w:sz w:val="21"/>
          <w:szCs w:val="21"/>
          <w:lang w:eastAsia="es-MX"/>
        </w:rPr>
        <w:t>7</w:t>
      </w:r>
      <w:r>
        <w:rPr>
          <w:rFonts w:ascii="Arial" w:eastAsia="Arial Unicode MS" w:hAnsi="Arial" w:cs="Arial"/>
          <w:sz w:val="21"/>
          <w:szCs w:val="21"/>
          <w:lang w:eastAsia="es-MX"/>
        </w:rPr>
        <w:t xml:space="preserve"> contestaron que no cuentan con información de interés público generada en el ejercicio 2020.</w:t>
      </w:r>
    </w:p>
    <w:p w14:paraId="67FA85AC" w14:textId="77777777" w:rsidR="007A14C9" w:rsidRDefault="007A14C9" w:rsidP="007A14C9">
      <w:pPr>
        <w:pStyle w:val="Prrafodelista"/>
        <w:spacing w:line="276" w:lineRule="auto"/>
        <w:jc w:val="both"/>
        <w:rPr>
          <w:rFonts w:ascii="Arial" w:eastAsia="Arial Unicode MS" w:hAnsi="Arial" w:cs="Arial"/>
          <w:sz w:val="21"/>
          <w:szCs w:val="21"/>
          <w:lang w:eastAsia="es-MX"/>
        </w:rPr>
      </w:pPr>
    </w:p>
    <w:p w14:paraId="10E70213" w14:textId="38DBAB20" w:rsidR="007A14C9" w:rsidRDefault="007A14C9" w:rsidP="007A14C9">
      <w:pPr>
        <w:spacing w:line="276" w:lineRule="auto"/>
        <w:jc w:val="both"/>
        <w:rPr>
          <w:rFonts w:ascii="Arial" w:eastAsia="Arial Unicode MS" w:hAnsi="Arial" w:cs="Arial"/>
          <w:b/>
          <w:bCs/>
          <w:sz w:val="21"/>
          <w:szCs w:val="21"/>
        </w:rPr>
      </w:pPr>
      <w:r w:rsidRPr="00CC259C">
        <w:rPr>
          <w:rFonts w:ascii="Arial" w:eastAsia="Arial Unicode MS" w:hAnsi="Arial" w:cs="Arial"/>
          <w:b/>
          <w:bCs/>
          <w:sz w:val="21"/>
          <w:szCs w:val="21"/>
          <w:lang w:eastAsia="es-MX"/>
        </w:rPr>
        <w:t xml:space="preserve">DÉCIMO </w:t>
      </w:r>
      <w:r w:rsidR="00CC259C">
        <w:rPr>
          <w:rFonts w:ascii="Arial" w:eastAsia="Arial Unicode MS" w:hAnsi="Arial" w:cs="Arial"/>
          <w:b/>
          <w:bCs/>
          <w:sz w:val="21"/>
          <w:szCs w:val="21"/>
          <w:lang w:eastAsia="es-MX"/>
        </w:rPr>
        <w:t>CUARTO</w:t>
      </w:r>
      <w:r>
        <w:rPr>
          <w:rFonts w:ascii="Arial" w:eastAsia="Arial Unicode MS" w:hAnsi="Arial" w:cs="Arial"/>
          <w:b/>
          <w:bCs/>
          <w:sz w:val="21"/>
          <w:szCs w:val="21"/>
          <w:lang w:eastAsia="es-MX"/>
        </w:rPr>
        <w:t xml:space="preserve">. </w:t>
      </w:r>
      <w:r>
        <w:rPr>
          <w:rFonts w:ascii="Arial" w:eastAsia="Arial Unicode MS" w:hAnsi="Arial" w:cs="Arial"/>
          <w:sz w:val="21"/>
          <w:szCs w:val="21"/>
          <w:lang w:eastAsia="es-MX"/>
        </w:rPr>
        <w:t xml:space="preserve">Que, los </w:t>
      </w:r>
      <w:r>
        <w:rPr>
          <w:rFonts w:ascii="Arial" w:eastAsia="Arial Unicode MS" w:hAnsi="Arial" w:cs="Arial"/>
          <w:b/>
          <w:bCs/>
          <w:sz w:val="21"/>
          <w:szCs w:val="21"/>
          <w:lang w:eastAsia="es-MX"/>
        </w:rPr>
        <w:t>16</w:t>
      </w:r>
      <w:r>
        <w:rPr>
          <w:rFonts w:ascii="Arial" w:eastAsia="Arial Unicode MS" w:hAnsi="Arial" w:cs="Arial"/>
          <w:sz w:val="21"/>
          <w:szCs w:val="21"/>
          <w:lang w:eastAsia="es-MX"/>
        </w:rPr>
        <w:t xml:space="preserve"> listados de información de interés público remitidos por igual número de Sujetos obligados fue sometido al proceso de dictaminación establecido en los </w:t>
      </w:r>
      <w:r>
        <w:rPr>
          <w:rFonts w:ascii="Arial" w:eastAsia="Arial Unicode MS" w:hAnsi="Arial" w:cs="Arial"/>
          <w:sz w:val="21"/>
          <w:szCs w:val="21"/>
        </w:rPr>
        <w:t xml:space="preserve">Lineamientos para determinar los catálogos y publicación de Información de Interés Público y para </w:t>
      </w:r>
      <w:r w:rsidRPr="00CC259C">
        <w:rPr>
          <w:rFonts w:ascii="Arial" w:eastAsia="Arial Unicode MS" w:hAnsi="Arial" w:cs="Arial"/>
          <w:sz w:val="21"/>
          <w:szCs w:val="21"/>
        </w:rPr>
        <w:t>la emisión y evaluación de Políticas de Transparencia Proactiva. Derivado del cual,</w:t>
      </w:r>
      <w:r w:rsidRPr="00CC259C">
        <w:rPr>
          <w:rFonts w:ascii="Arial" w:eastAsia="Arial Unicode MS" w:hAnsi="Arial" w:cs="Arial"/>
          <w:b/>
          <w:bCs/>
          <w:sz w:val="21"/>
          <w:szCs w:val="21"/>
        </w:rPr>
        <w:t xml:space="preserve"> 7</w:t>
      </w:r>
      <w:r w:rsidRPr="00CC259C">
        <w:rPr>
          <w:rFonts w:ascii="Arial" w:eastAsia="Arial Unicode MS" w:hAnsi="Arial" w:cs="Arial"/>
          <w:sz w:val="21"/>
          <w:szCs w:val="21"/>
        </w:rPr>
        <w:t xml:space="preserve"> Sujetos obligados</w:t>
      </w:r>
      <w:r>
        <w:rPr>
          <w:rFonts w:ascii="Arial" w:eastAsia="Arial Unicode MS" w:hAnsi="Arial" w:cs="Arial"/>
          <w:sz w:val="21"/>
          <w:szCs w:val="21"/>
        </w:rPr>
        <w:t xml:space="preserve"> fueron dictaminados con listados de información de interés público susceptibles de ser publicados en la Plataforma Nacional de Transparencia. </w:t>
      </w:r>
    </w:p>
    <w:p w14:paraId="094741F6" w14:textId="77777777" w:rsidR="007A14C9" w:rsidRDefault="007A14C9" w:rsidP="007A14C9">
      <w:pPr>
        <w:spacing w:line="276" w:lineRule="auto"/>
        <w:jc w:val="both"/>
        <w:rPr>
          <w:rFonts w:ascii="Arial" w:eastAsia="Arial Unicode MS" w:hAnsi="Arial" w:cs="Arial"/>
          <w:b/>
          <w:bCs/>
          <w:sz w:val="21"/>
          <w:szCs w:val="21"/>
        </w:rPr>
      </w:pPr>
    </w:p>
    <w:p w14:paraId="0DBA308B" w14:textId="7D18DAA5" w:rsidR="007A14C9" w:rsidRDefault="007A14C9" w:rsidP="007A14C9">
      <w:pPr>
        <w:spacing w:line="276" w:lineRule="auto"/>
        <w:jc w:val="both"/>
        <w:rPr>
          <w:rFonts w:ascii="Arial" w:eastAsia="Arial Unicode MS" w:hAnsi="Arial" w:cs="Arial"/>
          <w:sz w:val="21"/>
          <w:szCs w:val="21"/>
        </w:rPr>
      </w:pPr>
      <w:r>
        <w:rPr>
          <w:rFonts w:ascii="Arial" w:eastAsia="Arial Unicode MS" w:hAnsi="Arial" w:cs="Arial"/>
          <w:sz w:val="21"/>
          <w:szCs w:val="21"/>
        </w:rPr>
        <w:t xml:space="preserve">Los Sujetos </w:t>
      </w:r>
      <w:r w:rsidRPr="00CC259C">
        <w:rPr>
          <w:rFonts w:ascii="Arial" w:eastAsia="Arial Unicode MS" w:hAnsi="Arial" w:cs="Arial"/>
          <w:sz w:val="21"/>
          <w:szCs w:val="21"/>
        </w:rPr>
        <w:t>obligados</w:t>
      </w:r>
      <w:r>
        <w:rPr>
          <w:rFonts w:ascii="Arial" w:eastAsia="Arial Unicode MS" w:hAnsi="Arial" w:cs="Arial"/>
          <w:sz w:val="21"/>
          <w:szCs w:val="21"/>
        </w:rPr>
        <w:t xml:space="preserve"> dictaminados con </w:t>
      </w:r>
      <w:r w:rsidR="00E62F76">
        <w:rPr>
          <w:rFonts w:ascii="Arial" w:eastAsia="Arial Unicode MS" w:hAnsi="Arial" w:cs="Arial"/>
          <w:sz w:val="21"/>
          <w:szCs w:val="21"/>
        </w:rPr>
        <w:t xml:space="preserve">catálogo </w:t>
      </w:r>
      <w:r>
        <w:rPr>
          <w:rFonts w:ascii="Arial" w:eastAsia="Arial Unicode MS" w:hAnsi="Arial" w:cs="Arial"/>
          <w:sz w:val="21"/>
          <w:szCs w:val="21"/>
        </w:rPr>
        <w:t xml:space="preserve">de información de interés público que cumple con los requisitos y supuestos normativos considerados </w:t>
      </w:r>
      <w:r w:rsidRPr="00CC259C">
        <w:rPr>
          <w:rFonts w:ascii="Arial" w:eastAsia="Arial Unicode MS" w:hAnsi="Arial" w:cs="Arial"/>
          <w:sz w:val="21"/>
          <w:szCs w:val="21"/>
        </w:rPr>
        <w:t xml:space="preserve">en </w:t>
      </w:r>
      <w:r w:rsidR="00C70381" w:rsidRPr="00CC259C">
        <w:rPr>
          <w:rFonts w:ascii="Arial" w:eastAsia="Arial Unicode MS" w:hAnsi="Arial" w:cs="Arial"/>
          <w:color w:val="000000" w:themeColor="text1"/>
          <w:sz w:val="21"/>
          <w:szCs w:val="21"/>
        </w:rPr>
        <w:t>los</w:t>
      </w:r>
      <w:r w:rsidR="00C70381" w:rsidRPr="00CC259C">
        <w:rPr>
          <w:rFonts w:ascii="Arial" w:eastAsia="Arial Unicode MS" w:hAnsi="Arial" w:cs="Arial"/>
          <w:color w:val="FF0000"/>
          <w:sz w:val="21"/>
          <w:szCs w:val="21"/>
        </w:rPr>
        <w:t xml:space="preserve"> </w:t>
      </w:r>
      <w:r w:rsidRPr="00CC259C">
        <w:rPr>
          <w:rFonts w:ascii="Arial" w:eastAsia="Arial Unicode MS" w:hAnsi="Arial" w:cs="Arial"/>
          <w:sz w:val="21"/>
          <w:szCs w:val="21"/>
        </w:rPr>
        <w:t>Lineamientos</w:t>
      </w:r>
      <w:r>
        <w:rPr>
          <w:rFonts w:ascii="Arial" w:eastAsia="Arial Unicode MS" w:hAnsi="Arial" w:cs="Arial"/>
          <w:sz w:val="21"/>
          <w:szCs w:val="21"/>
        </w:rPr>
        <w:t xml:space="preserve"> para determinar los catálogos y publicación de Información de Interés Público y para la </w:t>
      </w:r>
      <w:r w:rsidRPr="00CC259C">
        <w:rPr>
          <w:rFonts w:ascii="Arial" w:eastAsia="Arial Unicode MS" w:hAnsi="Arial" w:cs="Arial"/>
          <w:sz w:val="21"/>
          <w:szCs w:val="21"/>
        </w:rPr>
        <w:t>emisión y evaluación</w:t>
      </w:r>
      <w:r>
        <w:rPr>
          <w:rFonts w:ascii="Arial" w:eastAsia="Arial Unicode MS" w:hAnsi="Arial" w:cs="Arial"/>
          <w:sz w:val="21"/>
          <w:szCs w:val="21"/>
        </w:rPr>
        <w:t xml:space="preserve"> de Políticas de Transparencia Proactiva, son los siguientes:</w:t>
      </w:r>
    </w:p>
    <w:p w14:paraId="3AE5047C" w14:textId="77777777" w:rsidR="007A14C9" w:rsidRDefault="007A14C9" w:rsidP="007A14C9">
      <w:pPr>
        <w:spacing w:line="276" w:lineRule="auto"/>
        <w:jc w:val="both"/>
        <w:rPr>
          <w:rFonts w:ascii="Arial" w:eastAsia="Arial Unicode MS" w:hAnsi="Arial" w:cs="Arial"/>
          <w:sz w:val="21"/>
          <w:szCs w:val="21"/>
        </w:rPr>
      </w:pPr>
    </w:p>
    <w:p w14:paraId="7EE9E787" w14:textId="77777777" w:rsidR="007A14C9" w:rsidRDefault="007A14C9" w:rsidP="007A14C9">
      <w:pPr>
        <w:pStyle w:val="Prrafodelista"/>
        <w:numPr>
          <w:ilvl w:val="0"/>
          <w:numId w:val="31"/>
        </w:numPr>
        <w:spacing w:line="276" w:lineRule="auto"/>
        <w:rPr>
          <w:rFonts w:ascii="Arial" w:eastAsia="Arial Unicode MS" w:hAnsi="Arial" w:cs="Arial"/>
          <w:sz w:val="21"/>
          <w:szCs w:val="21"/>
          <w:lang w:eastAsia="es-MX"/>
        </w:rPr>
      </w:pPr>
      <w:r>
        <w:rPr>
          <w:rFonts w:ascii="Arial" w:eastAsia="Arial Unicode MS" w:hAnsi="Arial" w:cs="Arial"/>
          <w:sz w:val="21"/>
          <w:szCs w:val="21"/>
          <w:lang w:eastAsia="es-MX"/>
        </w:rPr>
        <w:t>Tribunal Electoral del Estado de Oaxaca.</w:t>
      </w:r>
    </w:p>
    <w:p w14:paraId="6E64281E" w14:textId="77777777" w:rsidR="007A14C9" w:rsidRDefault="007A14C9" w:rsidP="007A14C9">
      <w:pPr>
        <w:pStyle w:val="Prrafodelista"/>
        <w:numPr>
          <w:ilvl w:val="0"/>
          <w:numId w:val="31"/>
        </w:numPr>
        <w:rPr>
          <w:rFonts w:ascii="Arial" w:eastAsia="Arial Unicode MS" w:hAnsi="Arial" w:cs="Arial"/>
          <w:sz w:val="21"/>
          <w:szCs w:val="21"/>
          <w:lang w:eastAsia="es-MX"/>
        </w:rPr>
      </w:pPr>
      <w:r>
        <w:rPr>
          <w:rFonts w:ascii="Arial" w:eastAsia="Arial Unicode MS" w:hAnsi="Arial" w:cs="Arial"/>
          <w:sz w:val="21"/>
          <w:szCs w:val="21"/>
          <w:lang w:eastAsia="es-MX"/>
        </w:rPr>
        <w:t>Universidad Autónoma Benito Juárez de Oaxaca.</w:t>
      </w:r>
    </w:p>
    <w:p w14:paraId="1363ED54" w14:textId="74C9D1B9" w:rsidR="007A14C9" w:rsidRDefault="007A14C9" w:rsidP="007A14C9">
      <w:pPr>
        <w:pStyle w:val="Prrafodelista"/>
        <w:numPr>
          <w:ilvl w:val="0"/>
          <w:numId w:val="31"/>
        </w:numPr>
        <w:spacing w:line="276" w:lineRule="auto"/>
        <w:rPr>
          <w:rFonts w:ascii="Arial" w:eastAsia="Arial Unicode MS" w:hAnsi="Arial" w:cs="Arial"/>
          <w:sz w:val="21"/>
          <w:szCs w:val="21"/>
          <w:lang w:eastAsia="es-MX"/>
        </w:rPr>
      </w:pPr>
      <w:r>
        <w:rPr>
          <w:rFonts w:ascii="Arial" w:eastAsia="Arial Unicode MS" w:hAnsi="Arial" w:cs="Arial"/>
          <w:sz w:val="21"/>
          <w:szCs w:val="21"/>
          <w:lang w:eastAsia="es-MX"/>
        </w:rPr>
        <w:t xml:space="preserve"> Instituto </w:t>
      </w:r>
      <w:r w:rsidR="00CC259C">
        <w:rPr>
          <w:rFonts w:ascii="Arial" w:eastAsia="Arial Unicode MS" w:hAnsi="Arial" w:cs="Arial"/>
          <w:sz w:val="21"/>
          <w:szCs w:val="21"/>
          <w:lang w:eastAsia="es-MX"/>
        </w:rPr>
        <w:t>de</w:t>
      </w:r>
      <w:r>
        <w:rPr>
          <w:rFonts w:ascii="Arial" w:eastAsia="Arial Unicode MS" w:hAnsi="Arial" w:cs="Arial"/>
          <w:sz w:val="21"/>
          <w:szCs w:val="21"/>
          <w:lang w:eastAsia="es-MX"/>
        </w:rPr>
        <w:t xml:space="preserve"> Acceso </w:t>
      </w:r>
      <w:r w:rsidR="00CC259C">
        <w:rPr>
          <w:rFonts w:ascii="Arial" w:eastAsia="Arial Unicode MS" w:hAnsi="Arial" w:cs="Arial"/>
          <w:sz w:val="21"/>
          <w:szCs w:val="21"/>
          <w:lang w:eastAsia="es-MX"/>
        </w:rPr>
        <w:t>a</w:t>
      </w:r>
      <w:r>
        <w:rPr>
          <w:rFonts w:ascii="Arial" w:eastAsia="Arial Unicode MS" w:hAnsi="Arial" w:cs="Arial"/>
          <w:sz w:val="21"/>
          <w:szCs w:val="21"/>
          <w:lang w:eastAsia="es-MX"/>
        </w:rPr>
        <w:t xml:space="preserve"> La Información Pública </w:t>
      </w:r>
      <w:r w:rsidR="00CC259C">
        <w:rPr>
          <w:rFonts w:ascii="Arial" w:eastAsia="Arial Unicode MS" w:hAnsi="Arial" w:cs="Arial"/>
          <w:sz w:val="21"/>
          <w:szCs w:val="21"/>
          <w:lang w:eastAsia="es-MX"/>
        </w:rPr>
        <w:t>y</w:t>
      </w:r>
      <w:r>
        <w:rPr>
          <w:rFonts w:ascii="Arial" w:eastAsia="Arial Unicode MS" w:hAnsi="Arial" w:cs="Arial"/>
          <w:sz w:val="21"/>
          <w:szCs w:val="21"/>
          <w:lang w:eastAsia="es-MX"/>
        </w:rPr>
        <w:t xml:space="preserve"> Protección </w:t>
      </w:r>
      <w:r w:rsidR="00CC259C">
        <w:rPr>
          <w:rFonts w:ascii="Arial" w:eastAsia="Arial Unicode MS" w:hAnsi="Arial" w:cs="Arial"/>
          <w:sz w:val="21"/>
          <w:szCs w:val="21"/>
          <w:lang w:eastAsia="es-MX"/>
        </w:rPr>
        <w:t>d</w:t>
      </w:r>
      <w:r>
        <w:rPr>
          <w:rFonts w:ascii="Arial" w:eastAsia="Arial Unicode MS" w:hAnsi="Arial" w:cs="Arial"/>
          <w:sz w:val="21"/>
          <w:szCs w:val="21"/>
          <w:lang w:eastAsia="es-MX"/>
        </w:rPr>
        <w:t>e Datos Personales </w:t>
      </w:r>
    </w:p>
    <w:p w14:paraId="7B946EAD" w14:textId="77777777" w:rsidR="007A14C9" w:rsidRDefault="007A14C9" w:rsidP="007A14C9">
      <w:pPr>
        <w:pStyle w:val="Prrafodelista"/>
        <w:numPr>
          <w:ilvl w:val="0"/>
          <w:numId w:val="31"/>
        </w:numPr>
        <w:spacing w:line="276" w:lineRule="auto"/>
        <w:rPr>
          <w:rFonts w:ascii="Arial" w:eastAsia="Arial Unicode MS" w:hAnsi="Arial" w:cs="Arial"/>
          <w:sz w:val="21"/>
          <w:szCs w:val="21"/>
          <w:lang w:eastAsia="es-MX"/>
        </w:rPr>
      </w:pPr>
      <w:r>
        <w:rPr>
          <w:rFonts w:ascii="Arial" w:eastAsia="Arial Unicode MS" w:hAnsi="Arial" w:cs="Arial"/>
          <w:sz w:val="21"/>
          <w:szCs w:val="21"/>
          <w:lang w:eastAsia="es-MX"/>
        </w:rPr>
        <w:t>Fideicomiso para el Desarrollo Logístico del Estado de Oaxaca.</w:t>
      </w:r>
    </w:p>
    <w:p w14:paraId="0866E7C6" w14:textId="77777777" w:rsidR="007A14C9" w:rsidRDefault="007A14C9" w:rsidP="007A14C9">
      <w:pPr>
        <w:pStyle w:val="Prrafodelista"/>
        <w:numPr>
          <w:ilvl w:val="0"/>
          <w:numId w:val="31"/>
        </w:numPr>
        <w:rPr>
          <w:rFonts w:ascii="Arial" w:eastAsia="Arial Unicode MS" w:hAnsi="Arial" w:cs="Arial"/>
          <w:sz w:val="21"/>
          <w:szCs w:val="21"/>
          <w:lang w:eastAsia="es-MX"/>
        </w:rPr>
      </w:pPr>
      <w:r>
        <w:rPr>
          <w:rFonts w:ascii="Arial" w:eastAsia="Arial Unicode MS" w:hAnsi="Arial" w:cs="Arial"/>
          <w:sz w:val="21"/>
          <w:szCs w:val="21"/>
          <w:lang w:eastAsia="es-MX"/>
        </w:rPr>
        <w:t xml:space="preserve">Colegio de Estudios Científicos y Tecnológicos del Estado de Oaxaca. </w:t>
      </w:r>
    </w:p>
    <w:p w14:paraId="6ED65365" w14:textId="77777777" w:rsidR="007A14C9" w:rsidRDefault="007A14C9" w:rsidP="007A14C9">
      <w:pPr>
        <w:pStyle w:val="Prrafodelista"/>
        <w:numPr>
          <w:ilvl w:val="0"/>
          <w:numId w:val="31"/>
        </w:numPr>
        <w:spacing w:line="276" w:lineRule="auto"/>
        <w:rPr>
          <w:rFonts w:ascii="Arial" w:eastAsia="Arial Unicode MS" w:hAnsi="Arial" w:cs="Arial"/>
          <w:sz w:val="21"/>
          <w:szCs w:val="21"/>
          <w:lang w:eastAsia="es-MX"/>
        </w:rPr>
      </w:pPr>
      <w:r>
        <w:rPr>
          <w:rFonts w:ascii="Arial" w:eastAsia="Arial Unicode MS" w:hAnsi="Arial" w:cs="Arial"/>
          <w:sz w:val="21"/>
          <w:szCs w:val="21"/>
          <w:lang w:eastAsia="es-MX"/>
        </w:rPr>
        <w:t>Oficina de la Gubernatura (Extinto).</w:t>
      </w:r>
    </w:p>
    <w:p w14:paraId="2F4A39EF" w14:textId="77777777" w:rsidR="007A14C9" w:rsidRDefault="007A14C9" w:rsidP="007A14C9">
      <w:pPr>
        <w:pStyle w:val="Prrafodelista"/>
        <w:numPr>
          <w:ilvl w:val="0"/>
          <w:numId w:val="31"/>
        </w:numPr>
        <w:spacing w:line="276" w:lineRule="auto"/>
        <w:rPr>
          <w:rFonts w:ascii="Arial" w:eastAsia="Arial Unicode MS" w:hAnsi="Arial" w:cs="Arial"/>
          <w:sz w:val="21"/>
          <w:szCs w:val="21"/>
          <w:lang w:eastAsia="es-MX"/>
        </w:rPr>
      </w:pPr>
      <w:r>
        <w:rPr>
          <w:rFonts w:ascii="Arial" w:eastAsia="Arial Unicode MS" w:hAnsi="Arial" w:cs="Arial"/>
          <w:sz w:val="21"/>
          <w:szCs w:val="21"/>
          <w:lang w:eastAsia="es-MX"/>
        </w:rPr>
        <w:t>Coordinación de Planeación y Evaluación para el Desarrollo Social de Oaxaca.</w:t>
      </w:r>
    </w:p>
    <w:p w14:paraId="4D9D638F" w14:textId="77777777" w:rsidR="007A14C9" w:rsidRDefault="007A14C9" w:rsidP="007A14C9">
      <w:pPr>
        <w:spacing w:line="276" w:lineRule="auto"/>
        <w:jc w:val="both"/>
        <w:rPr>
          <w:rFonts w:ascii="Arial" w:eastAsia="Arial Unicode MS" w:hAnsi="Arial" w:cs="Arial"/>
          <w:sz w:val="21"/>
          <w:szCs w:val="21"/>
          <w:lang w:eastAsia="es-MX"/>
        </w:rPr>
      </w:pPr>
    </w:p>
    <w:p w14:paraId="1459626D" w14:textId="77777777" w:rsidR="00A76C3F" w:rsidRDefault="00A76C3F" w:rsidP="007A14C9">
      <w:pPr>
        <w:spacing w:line="276" w:lineRule="auto"/>
        <w:jc w:val="both"/>
        <w:rPr>
          <w:rFonts w:ascii="Arial" w:eastAsia="Arial Unicode MS" w:hAnsi="Arial" w:cs="Arial"/>
          <w:sz w:val="21"/>
          <w:szCs w:val="21"/>
          <w:lang w:eastAsia="es-MX"/>
        </w:rPr>
      </w:pPr>
    </w:p>
    <w:p w14:paraId="4421ADF0" w14:textId="77777777" w:rsidR="00A76C3F" w:rsidRDefault="00A76C3F" w:rsidP="007A14C9">
      <w:pPr>
        <w:spacing w:line="276" w:lineRule="auto"/>
        <w:jc w:val="both"/>
        <w:rPr>
          <w:rFonts w:ascii="Arial" w:eastAsia="Arial Unicode MS" w:hAnsi="Arial" w:cs="Arial"/>
          <w:sz w:val="21"/>
          <w:szCs w:val="21"/>
          <w:lang w:eastAsia="es-MX"/>
        </w:rPr>
      </w:pPr>
    </w:p>
    <w:p w14:paraId="5B1AAED2" w14:textId="77777777" w:rsidR="00A76C3F" w:rsidRDefault="00A76C3F" w:rsidP="007A14C9">
      <w:pPr>
        <w:spacing w:line="276" w:lineRule="auto"/>
        <w:jc w:val="both"/>
        <w:rPr>
          <w:rFonts w:ascii="Arial" w:eastAsia="Arial Unicode MS" w:hAnsi="Arial" w:cs="Arial"/>
          <w:sz w:val="21"/>
          <w:szCs w:val="21"/>
          <w:lang w:eastAsia="es-MX"/>
        </w:rPr>
      </w:pPr>
    </w:p>
    <w:p w14:paraId="29B197F1" w14:textId="77777777" w:rsidR="00A76C3F" w:rsidRDefault="00A76C3F" w:rsidP="007A14C9">
      <w:pPr>
        <w:spacing w:line="276" w:lineRule="auto"/>
        <w:jc w:val="both"/>
        <w:rPr>
          <w:rFonts w:ascii="Arial" w:eastAsia="Arial Unicode MS" w:hAnsi="Arial" w:cs="Arial"/>
          <w:sz w:val="21"/>
          <w:szCs w:val="21"/>
          <w:lang w:eastAsia="es-MX"/>
        </w:rPr>
      </w:pPr>
    </w:p>
    <w:p w14:paraId="2A0147B5" w14:textId="77777777" w:rsidR="007A14C9" w:rsidRDefault="007A14C9" w:rsidP="007A14C9">
      <w:pPr>
        <w:autoSpaceDE w:val="0"/>
        <w:autoSpaceDN w:val="0"/>
        <w:adjustRightInd w:val="0"/>
        <w:spacing w:line="276" w:lineRule="auto"/>
        <w:jc w:val="center"/>
        <w:rPr>
          <w:rFonts w:ascii="Arial" w:eastAsia="Arial Unicode MS" w:hAnsi="Arial" w:cs="Arial"/>
          <w:b/>
          <w:bCs/>
          <w:iCs/>
          <w:sz w:val="21"/>
          <w:szCs w:val="21"/>
          <w:lang w:eastAsia="es-MX"/>
        </w:rPr>
      </w:pPr>
      <w:r>
        <w:rPr>
          <w:rFonts w:ascii="Arial" w:eastAsia="Arial Unicode MS" w:hAnsi="Arial" w:cs="Arial"/>
          <w:b/>
          <w:bCs/>
          <w:iCs/>
          <w:sz w:val="21"/>
          <w:szCs w:val="21"/>
          <w:lang w:eastAsia="es-MX"/>
        </w:rPr>
        <w:t>ACUERDO</w:t>
      </w:r>
    </w:p>
    <w:p w14:paraId="0E28ADAB" w14:textId="77777777" w:rsidR="007A14C9" w:rsidRDefault="007A14C9" w:rsidP="007A14C9">
      <w:pPr>
        <w:autoSpaceDE w:val="0"/>
        <w:autoSpaceDN w:val="0"/>
        <w:adjustRightInd w:val="0"/>
        <w:spacing w:line="276" w:lineRule="auto"/>
        <w:jc w:val="both"/>
        <w:rPr>
          <w:rFonts w:ascii="Arial" w:eastAsia="Arial Unicode MS" w:hAnsi="Arial" w:cs="Arial"/>
          <w:b/>
          <w:bCs/>
          <w:iCs/>
          <w:sz w:val="21"/>
          <w:szCs w:val="21"/>
          <w:u w:val="single"/>
          <w:lang w:eastAsia="es-MX"/>
        </w:rPr>
      </w:pPr>
    </w:p>
    <w:p w14:paraId="499B3477" w14:textId="77777777" w:rsidR="007A14C9" w:rsidRDefault="007A14C9" w:rsidP="007A14C9">
      <w:pPr>
        <w:autoSpaceDE w:val="0"/>
        <w:autoSpaceDN w:val="0"/>
        <w:adjustRightInd w:val="0"/>
        <w:spacing w:line="276" w:lineRule="auto"/>
        <w:jc w:val="both"/>
        <w:rPr>
          <w:rFonts w:ascii="Arial" w:eastAsia="Arial Unicode MS" w:hAnsi="Arial" w:cs="Arial"/>
          <w:b/>
          <w:bCs/>
          <w:iCs/>
          <w:sz w:val="21"/>
          <w:szCs w:val="21"/>
          <w:u w:val="single"/>
          <w:lang w:eastAsia="es-MX"/>
        </w:rPr>
      </w:pPr>
    </w:p>
    <w:p w14:paraId="62388DAC" w14:textId="0E7F4F64" w:rsidR="007A14C9" w:rsidRDefault="007A14C9" w:rsidP="007A14C9">
      <w:pPr>
        <w:spacing w:line="276" w:lineRule="auto"/>
        <w:jc w:val="both"/>
        <w:rPr>
          <w:rFonts w:ascii="Arial" w:eastAsia="Arial Unicode MS" w:hAnsi="Arial" w:cs="Arial"/>
          <w:b/>
          <w:sz w:val="21"/>
          <w:szCs w:val="21"/>
          <w:lang w:eastAsia="es-ES"/>
        </w:rPr>
      </w:pPr>
      <w:r>
        <w:rPr>
          <w:rFonts w:ascii="Arial" w:eastAsia="Arial Unicode MS" w:hAnsi="Arial" w:cs="Arial"/>
          <w:b/>
          <w:sz w:val="21"/>
          <w:szCs w:val="21"/>
          <w:lang w:eastAsia="es-ES"/>
        </w:rPr>
        <w:t>PRIMERO.</w:t>
      </w:r>
      <w:r>
        <w:rPr>
          <w:rFonts w:ascii="Arial" w:eastAsia="Arial Unicode MS" w:hAnsi="Arial" w:cs="Arial"/>
          <w:sz w:val="21"/>
          <w:szCs w:val="21"/>
          <w:lang w:eastAsia="es-ES"/>
        </w:rPr>
        <w:t xml:space="preserve"> Se aprueba, por los integrantes de este Consejo General, </w:t>
      </w:r>
      <w:r>
        <w:rPr>
          <w:rFonts w:ascii="Arial" w:eastAsia="Arial Unicode MS" w:hAnsi="Arial" w:cs="Arial"/>
          <w:b/>
          <w:sz w:val="21"/>
          <w:szCs w:val="21"/>
          <w:lang w:eastAsia="es-ES"/>
        </w:rPr>
        <w:t xml:space="preserve">el </w:t>
      </w:r>
      <w:r w:rsidR="00135DC0">
        <w:rPr>
          <w:rFonts w:ascii="Arial" w:eastAsia="Arial Unicode MS" w:hAnsi="Arial" w:cs="Arial"/>
          <w:b/>
          <w:sz w:val="21"/>
          <w:szCs w:val="21"/>
          <w:lang w:eastAsia="es-ES"/>
        </w:rPr>
        <w:t>dictamen</w:t>
      </w:r>
      <w:r>
        <w:rPr>
          <w:rFonts w:ascii="Arial" w:eastAsia="Arial Unicode MS" w:hAnsi="Arial" w:cs="Arial"/>
          <w:b/>
          <w:sz w:val="21"/>
          <w:szCs w:val="21"/>
          <w:lang w:eastAsia="es-ES"/>
        </w:rPr>
        <w:t xml:space="preserve"> que emite la Dirección de Gobierno Abierto,</w:t>
      </w:r>
      <w:r>
        <w:rPr>
          <w:rFonts w:ascii="Arial" w:eastAsia="Arial Unicode MS" w:hAnsi="Arial" w:cs="Arial"/>
          <w:sz w:val="21"/>
          <w:szCs w:val="21"/>
          <w:lang w:eastAsia="es-ES"/>
        </w:rPr>
        <w:t xml:space="preserve"> </w:t>
      </w:r>
      <w:r w:rsidR="00ED5896">
        <w:rPr>
          <w:rFonts w:ascii="Arial" w:eastAsia="Arial Unicode MS" w:hAnsi="Arial" w:cs="Arial"/>
          <w:b/>
          <w:sz w:val="21"/>
          <w:szCs w:val="21"/>
          <w:lang w:eastAsia="es-ES"/>
        </w:rPr>
        <w:t>de</w:t>
      </w:r>
      <w:r w:rsidR="00E62F76">
        <w:rPr>
          <w:rFonts w:ascii="Arial" w:eastAsia="Arial Unicode MS" w:hAnsi="Arial" w:cs="Arial"/>
          <w:b/>
          <w:sz w:val="21"/>
          <w:szCs w:val="21"/>
          <w:lang w:eastAsia="es-ES"/>
        </w:rPr>
        <w:t xml:space="preserve"> los </w:t>
      </w:r>
      <w:r w:rsidR="00D60B60">
        <w:rPr>
          <w:rFonts w:ascii="Arial" w:eastAsia="Arial Unicode MS" w:hAnsi="Arial" w:cs="Arial"/>
          <w:b/>
          <w:sz w:val="21"/>
          <w:szCs w:val="21"/>
          <w:lang w:eastAsia="es-ES"/>
        </w:rPr>
        <w:t>catálogo</w:t>
      </w:r>
      <w:r w:rsidR="00E62F76">
        <w:rPr>
          <w:rFonts w:ascii="Arial" w:eastAsia="Arial Unicode MS" w:hAnsi="Arial" w:cs="Arial"/>
          <w:b/>
          <w:sz w:val="21"/>
          <w:szCs w:val="21"/>
          <w:lang w:eastAsia="es-ES"/>
        </w:rPr>
        <w:t>s</w:t>
      </w:r>
      <w:r>
        <w:rPr>
          <w:rFonts w:ascii="Arial" w:eastAsia="Arial Unicode MS" w:hAnsi="Arial" w:cs="Arial"/>
          <w:b/>
          <w:sz w:val="21"/>
          <w:szCs w:val="21"/>
          <w:lang w:eastAsia="es-ES"/>
        </w:rPr>
        <w:t xml:space="preserve"> de información de interés público del ejercicio 2020, de los Sujetos </w:t>
      </w:r>
      <w:r w:rsidRPr="00CC259C">
        <w:rPr>
          <w:rFonts w:ascii="Arial" w:eastAsia="Arial Unicode MS" w:hAnsi="Arial" w:cs="Arial"/>
          <w:b/>
          <w:sz w:val="21"/>
          <w:szCs w:val="21"/>
          <w:lang w:eastAsia="es-ES"/>
        </w:rPr>
        <w:t>obligados</w:t>
      </w:r>
      <w:r>
        <w:rPr>
          <w:rFonts w:ascii="Arial" w:eastAsia="Arial Unicode MS" w:hAnsi="Arial" w:cs="Arial"/>
          <w:b/>
          <w:sz w:val="21"/>
          <w:szCs w:val="21"/>
          <w:lang w:eastAsia="es-ES"/>
        </w:rPr>
        <w:t>: Tribunal Electoral del Estado de Oaxaca, Universidad Autónoma Benito Juárez de Oaxaca, Instituto de Acceso a la Información Pública y Protección de Datos Personales, Fideicomiso para el Desarrollo Logístico del Estado de Oaxaca, Colegio de Estudios Científicos y Tecnológicos del Estado de Oaxaca, Oficina de la Gubernatura (Extinto) y Coordinación de Planeación y Evaluación para el Desarrollo Social de Oaxaca.</w:t>
      </w:r>
    </w:p>
    <w:p w14:paraId="2E9FF486" w14:textId="77777777" w:rsidR="007A14C9" w:rsidRDefault="007A14C9" w:rsidP="007A14C9">
      <w:pPr>
        <w:spacing w:line="276" w:lineRule="auto"/>
        <w:jc w:val="both"/>
        <w:rPr>
          <w:rFonts w:ascii="Arial" w:eastAsia="Arial Unicode MS" w:hAnsi="Arial" w:cs="Arial"/>
          <w:sz w:val="21"/>
          <w:szCs w:val="21"/>
          <w:lang w:eastAsia="es-ES"/>
        </w:rPr>
      </w:pPr>
    </w:p>
    <w:p w14:paraId="497487E1" w14:textId="77777777" w:rsidR="007A14C9" w:rsidRDefault="007A14C9" w:rsidP="007A14C9">
      <w:pPr>
        <w:spacing w:line="276" w:lineRule="auto"/>
        <w:jc w:val="both"/>
        <w:rPr>
          <w:rFonts w:ascii="Arial" w:eastAsia="Arial Unicode MS" w:hAnsi="Arial" w:cs="Arial"/>
          <w:sz w:val="21"/>
          <w:szCs w:val="21"/>
          <w:lang w:val="es-ES" w:eastAsia="es-ES"/>
        </w:rPr>
      </w:pPr>
      <w:r>
        <w:rPr>
          <w:rFonts w:ascii="Arial" w:eastAsia="Arial Unicode MS" w:hAnsi="Arial" w:cs="Arial"/>
          <w:b/>
          <w:sz w:val="21"/>
          <w:szCs w:val="21"/>
          <w:lang w:val="es-ES" w:eastAsia="es-ES"/>
        </w:rPr>
        <w:t>SEGUNDO</w:t>
      </w:r>
      <w:r>
        <w:rPr>
          <w:rFonts w:ascii="Arial" w:eastAsia="Arial Unicode MS" w:hAnsi="Arial" w:cs="Arial"/>
          <w:sz w:val="21"/>
          <w:szCs w:val="21"/>
          <w:lang w:val="es-ES" w:eastAsia="es-ES"/>
        </w:rPr>
        <w:t>. Se instruye a la Secretaría General de Acuerdos, realice la notificación del presente documento al Responsable de la Unidad de Transparencia</w:t>
      </w:r>
      <w:r>
        <w:rPr>
          <w:rFonts w:ascii="Arial" w:eastAsia="Arial Unicode MS" w:hAnsi="Arial" w:cs="Arial"/>
          <w:sz w:val="21"/>
          <w:szCs w:val="21"/>
          <w:lang w:eastAsia="es-ES"/>
        </w:rPr>
        <w:t xml:space="preserve"> y/o al personal habilitado de la Unidad de Transparencia </w:t>
      </w:r>
      <w:r>
        <w:rPr>
          <w:rFonts w:ascii="Arial" w:eastAsia="Arial Unicode MS" w:hAnsi="Arial" w:cs="Arial"/>
          <w:sz w:val="21"/>
          <w:szCs w:val="21"/>
          <w:lang w:val="es-ES" w:eastAsia="es-ES"/>
        </w:rPr>
        <w:t xml:space="preserve">de los Sujetos obligados según corresponda; hecho lo anterior, informe a este Consejo General y a la </w:t>
      </w:r>
      <w:r>
        <w:rPr>
          <w:rFonts w:ascii="Arial" w:eastAsia="Arial Unicode MS" w:hAnsi="Arial" w:cs="Arial"/>
          <w:sz w:val="21"/>
          <w:szCs w:val="21"/>
          <w:lang w:eastAsia="es-ES"/>
        </w:rPr>
        <w:t>Dirección de Gobierno Abierto de este Órgano su debido cumplimiento</w:t>
      </w:r>
      <w:r>
        <w:rPr>
          <w:rFonts w:ascii="Arial" w:eastAsia="Arial Unicode MS" w:hAnsi="Arial" w:cs="Arial"/>
          <w:sz w:val="21"/>
          <w:szCs w:val="21"/>
          <w:lang w:val="es-ES" w:eastAsia="es-ES"/>
        </w:rPr>
        <w:t>.</w:t>
      </w:r>
    </w:p>
    <w:p w14:paraId="168D9C5B" w14:textId="77777777" w:rsidR="007A14C9" w:rsidRDefault="007A14C9" w:rsidP="007A14C9">
      <w:pPr>
        <w:spacing w:line="276" w:lineRule="auto"/>
        <w:jc w:val="both"/>
        <w:rPr>
          <w:rFonts w:ascii="Arial" w:eastAsia="Arial Unicode MS" w:hAnsi="Arial" w:cs="Arial"/>
          <w:sz w:val="21"/>
          <w:szCs w:val="21"/>
          <w:lang w:val="es-ES" w:eastAsia="es-ES"/>
        </w:rPr>
      </w:pPr>
    </w:p>
    <w:p w14:paraId="51B40BD3" w14:textId="5A307FA6" w:rsidR="007A14C9" w:rsidRDefault="007A14C9" w:rsidP="007A14C9">
      <w:pPr>
        <w:spacing w:line="276" w:lineRule="auto"/>
        <w:jc w:val="both"/>
        <w:rPr>
          <w:rFonts w:ascii="Arial" w:eastAsia="Arial Unicode MS" w:hAnsi="Arial" w:cs="Arial"/>
          <w:sz w:val="21"/>
          <w:szCs w:val="21"/>
          <w:lang w:val="es-ES" w:eastAsia="es-ES"/>
        </w:rPr>
      </w:pPr>
      <w:r>
        <w:rPr>
          <w:rFonts w:ascii="Arial" w:eastAsia="Arial Unicode MS" w:hAnsi="Arial" w:cs="Arial"/>
          <w:b/>
          <w:sz w:val="21"/>
          <w:szCs w:val="21"/>
          <w:lang w:val="es-ES" w:eastAsia="es-ES"/>
        </w:rPr>
        <w:t>TERCERO</w:t>
      </w:r>
      <w:r>
        <w:rPr>
          <w:rFonts w:ascii="Arial" w:eastAsia="Arial Unicode MS" w:hAnsi="Arial" w:cs="Arial"/>
          <w:sz w:val="21"/>
          <w:szCs w:val="21"/>
          <w:lang w:val="es-ES" w:eastAsia="es-ES"/>
        </w:rPr>
        <w:t>. Se instruye a la Dirección de Tecnologías de Transparencia, para que publique el presente acuerdo en el portal electrónico del Instituto.</w:t>
      </w:r>
    </w:p>
    <w:p w14:paraId="119DF533" w14:textId="73D45C99" w:rsidR="00692B1C" w:rsidRDefault="00692B1C" w:rsidP="007A14C9">
      <w:pPr>
        <w:spacing w:line="276" w:lineRule="auto"/>
        <w:jc w:val="both"/>
        <w:rPr>
          <w:rFonts w:ascii="Arial" w:eastAsia="Arial Unicode MS" w:hAnsi="Arial" w:cs="Arial"/>
          <w:sz w:val="21"/>
          <w:szCs w:val="21"/>
          <w:lang w:val="es-ES" w:eastAsia="es-ES"/>
        </w:rPr>
      </w:pPr>
    </w:p>
    <w:p w14:paraId="34F146D4" w14:textId="4863EA78" w:rsidR="00692B1C" w:rsidRPr="00692B1C" w:rsidRDefault="00692B1C" w:rsidP="007A14C9">
      <w:pPr>
        <w:spacing w:line="276" w:lineRule="auto"/>
        <w:jc w:val="both"/>
        <w:rPr>
          <w:rFonts w:ascii="Arial" w:eastAsia="Arial Unicode MS" w:hAnsi="Arial" w:cs="Arial"/>
          <w:sz w:val="21"/>
          <w:szCs w:val="21"/>
          <w:lang w:val="es-ES" w:eastAsia="es-ES"/>
        </w:rPr>
      </w:pPr>
      <w:r>
        <w:rPr>
          <w:rFonts w:ascii="Arial" w:eastAsia="Arial Unicode MS" w:hAnsi="Arial" w:cs="Arial"/>
          <w:b/>
          <w:bCs/>
          <w:sz w:val="21"/>
          <w:szCs w:val="21"/>
          <w:lang w:val="es-ES" w:eastAsia="es-ES"/>
        </w:rPr>
        <w:t xml:space="preserve">CUARTO. </w:t>
      </w:r>
      <w:r>
        <w:rPr>
          <w:rFonts w:ascii="Arial" w:eastAsia="Arial Unicode MS" w:hAnsi="Arial" w:cs="Arial"/>
          <w:sz w:val="21"/>
          <w:szCs w:val="21"/>
          <w:lang w:val="es-ES" w:eastAsia="es-ES"/>
        </w:rPr>
        <w:t xml:space="preserve">Se instruye a la Dirección de Gobierno Abierto, para que </w:t>
      </w:r>
      <w:r w:rsidR="004D2EEE">
        <w:rPr>
          <w:rFonts w:ascii="Arial" w:eastAsia="Arial Unicode MS" w:hAnsi="Arial" w:cs="Arial"/>
          <w:sz w:val="21"/>
          <w:szCs w:val="21"/>
          <w:lang w:val="es-ES" w:eastAsia="es-ES"/>
        </w:rPr>
        <w:t>dé</w:t>
      </w:r>
      <w:r>
        <w:rPr>
          <w:rFonts w:ascii="Arial" w:eastAsia="Arial Unicode MS" w:hAnsi="Arial" w:cs="Arial"/>
          <w:sz w:val="21"/>
          <w:szCs w:val="21"/>
          <w:lang w:val="es-ES" w:eastAsia="es-ES"/>
        </w:rPr>
        <w:t xml:space="preserve"> cumplimiento a la obligación de publicar los </w:t>
      </w:r>
      <w:r w:rsidR="003C2C3F">
        <w:rPr>
          <w:rFonts w:ascii="Arial" w:eastAsia="Arial Unicode MS" w:hAnsi="Arial" w:cs="Arial"/>
          <w:sz w:val="21"/>
          <w:szCs w:val="21"/>
          <w:lang w:val="es-ES" w:eastAsia="es-ES"/>
        </w:rPr>
        <w:t xml:space="preserve">catálogos </w:t>
      </w:r>
      <w:r>
        <w:rPr>
          <w:rFonts w:ascii="Arial" w:eastAsia="Arial Unicode MS" w:hAnsi="Arial" w:cs="Arial"/>
          <w:sz w:val="21"/>
          <w:szCs w:val="21"/>
          <w:lang w:val="es-ES" w:eastAsia="es-ES"/>
        </w:rPr>
        <w:t>de información de interés público en la Plataforma Nacional de Transparencia y en el Portal Institucional.</w:t>
      </w:r>
    </w:p>
    <w:p w14:paraId="03368369" w14:textId="77777777" w:rsidR="007A14C9" w:rsidRDefault="007A14C9" w:rsidP="007A14C9">
      <w:pPr>
        <w:spacing w:line="276" w:lineRule="auto"/>
        <w:jc w:val="both"/>
        <w:rPr>
          <w:rFonts w:ascii="Arial" w:eastAsia="Arial Unicode MS" w:hAnsi="Arial" w:cs="Arial"/>
          <w:sz w:val="21"/>
          <w:szCs w:val="21"/>
          <w:lang w:val="es-ES" w:eastAsia="es-ES"/>
        </w:rPr>
      </w:pPr>
    </w:p>
    <w:p w14:paraId="5D5BF9E2" w14:textId="726155F4" w:rsidR="007A14C9" w:rsidRDefault="007A14C9" w:rsidP="007A14C9">
      <w:pPr>
        <w:tabs>
          <w:tab w:val="left" w:pos="9356"/>
        </w:tabs>
        <w:spacing w:line="276" w:lineRule="auto"/>
        <w:jc w:val="both"/>
        <w:rPr>
          <w:rFonts w:ascii="Arial" w:eastAsia="Arial Unicode MS" w:hAnsi="Arial" w:cs="Arial"/>
          <w:sz w:val="21"/>
          <w:szCs w:val="21"/>
        </w:rPr>
      </w:pPr>
      <w:r>
        <w:rPr>
          <w:rFonts w:ascii="Arial" w:eastAsia="Arial Unicode MS" w:hAnsi="Arial" w:cs="Arial"/>
          <w:sz w:val="21"/>
          <w:szCs w:val="21"/>
        </w:rPr>
        <w:t xml:space="preserve">Así lo acordó, por unanimidad, el Consejo General del Instituto de Acceso a la Información Pública y Protección de Datos Personales del Estado de Oaxaca. La Comisionada Presidenta </w:t>
      </w:r>
      <w:r>
        <w:rPr>
          <w:rFonts w:ascii="Arial" w:eastAsia="Arial Unicode MS" w:hAnsi="Arial" w:cs="Arial"/>
          <w:b/>
          <w:sz w:val="21"/>
          <w:szCs w:val="21"/>
        </w:rPr>
        <w:t>Mtra. María Antonieta Velásquez Chagoya</w:t>
      </w:r>
      <w:r>
        <w:rPr>
          <w:rFonts w:ascii="Arial" w:eastAsia="Arial Unicode MS" w:hAnsi="Arial" w:cs="Arial"/>
          <w:sz w:val="21"/>
          <w:szCs w:val="21"/>
        </w:rPr>
        <w:t xml:space="preserve">. - Rúbrica. - El Comisionado </w:t>
      </w:r>
      <w:r>
        <w:rPr>
          <w:rFonts w:ascii="Arial" w:eastAsia="Arial Unicode MS" w:hAnsi="Arial" w:cs="Arial"/>
          <w:b/>
          <w:sz w:val="21"/>
          <w:szCs w:val="21"/>
        </w:rPr>
        <w:t>Lic. Fernando Rodolfo Gómez Cuevas</w:t>
      </w:r>
      <w:r>
        <w:rPr>
          <w:rFonts w:ascii="Arial" w:eastAsia="Arial Unicode MS" w:hAnsi="Arial" w:cs="Arial"/>
          <w:sz w:val="21"/>
          <w:szCs w:val="21"/>
        </w:rPr>
        <w:t xml:space="preserve">. - Rúbrica. Da fe el Secretario General de Acuerdos, </w:t>
      </w:r>
      <w:r>
        <w:rPr>
          <w:rFonts w:ascii="Arial" w:eastAsia="Arial Unicode MS" w:hAnsi="Arial" w:cs="Arial"/>
          <w:b/>
          <w:sz w:val="21"/>
          <w:szCs w:val="21"/>
        </w:rPr>
        <w:t>Lic. Guadalupe Gustavo Díaz Altamirano</w:t>
      </w:r>
      <w:r>
        <w:rPr>
          <w:rFonts w:ascii="Arial" w:eastAsia="Arial Unicode MS" w:hAnsi="Arial" w:cs="Arial"/>
          <w:sz w:val="21"/>
          <w:szCs w:val="21"/>
        </w:rPr>
        <w:t xml:space="preserve">. - Rúbrica, en la Ciudad de Oaxaca de Juárez, Oaxaca, a treinta de </w:t>
      </w:r>
      <w:r w:rsidR="000E0344">
        <w:rPr>
          <w:rFonts w:ascii="Arial" w:eastAsia="Arial Unicode MS" w:hAnsi="Arial" w:cs="Arial"/>
          <w:sz w:val="21"/>
          <w:szCs w:val="21"/>
        </w:rPr>
        <w:t>junio del año dos mil veintiuno</w:t>
      </w:r>
      <w:r>
        <w:rPr>
          <w:rFonts w:ascii="Arial" w:eastAsia="Arial Unicode MS" w:hAnsi="Arial" w:cs="Arial"/>
          <w:sz w:val="21"/>
          <w:szCs w:val="21"/>
        </w:rPr>
        <w:t xml:space="preserve">. Conste.  </w:t>
      </w:r>
    </w:p>
    <w:p w14:paraId="2C8E296C" w14:textId="77777777" w:rsidR="007A14C9" w:rsidRDefault="007A14C9" w:rsidP="007A14C9">
      <w:pPr>
        <w:tabs>
          <w:tab w:val="left" w:pos="9356"/>
        </w:tabs>
        <w:spacing w:line="276" w:lineRule="auto"/>
        <w:jc w:val="both"/>
        <w:rPr>
          <w:rFonts w:ascii="Arial" w:eastAsia="Arial Unicode MS" w:hAnsi="Arial" w:cs="Arial"/>
          <w:sz w:val="21"/>
          <w:szCs w:val="21"/>
        </w:rPr>
      </w:pPr>
    </w:p>
    <w:p w14:paraId="64D7E84D" w14:textId="77777777" w:rsidR="007A14C9" w:rsidRDefault="007A14C9" w:rsidP="007A14C9">
      <w:pPr>
        <w:tabs>
          <w:tab w:val="left" w:pos="9356"/>
        </w:tabs>
        <w:spacing w:line="276" w:lineRule="auto"/>
        <w:jc w:val="both"/>
        <w:rPr>
          <w:rFonts w:ascii="Arial" w:eastAsia="Arial Unicode MS" w:hAnsi="Arial" w:cs="Arial"/>
          <w:sz w:val="21"/>
          <w:szCs w:val="21"/>
        </w:rPr>
      </w:pPr>
    </w:p>
    <w:p w14:paraId="49F7CA88" w14:textId="77777777" w:rsidR="007A14C9" w:rsidRDefault="007A14C9" w:rsidP="007A14C9">
      <w:pPr>
        <w:tabs>
          <w:tab w:val="left" w:pos="9356"/>
        </w:tabs>
        <w:spacing w:line="276" w:lineRule="auto"/>
        <w:jc w:val="both"/>
        <w:rPr>
          <w:rFonts w:ascii="Arial" w:eastAsia="Arial Unicode MS" w:hAnsi="Arial" w:cs="Arial"/>
          <w:sz w:val="21"/>
          <w:szCs w:val="21"/>
        </w:rPr>
      </w:pPr>
    </w:p>
    <w:p w14:paraId="4221A736" w14:textId="77777777" w:rsidR="007A14C9" w:rsidRDefault="007A14C9" w:rsidP="007A14C9">
      <w:pPr>
        <w:tabs>
          <w:tab w:val="left" w:pos="9356"/>
        </w:tabs>
        <w:spacing w:line="276" w:lineRule="auto"/>
        <w:jc w:val="both"/>
        <w:rPr>
          <w:rFonts w:ascii="Arial" w:eastAsia="Arial Unicode MS" w:hAnsi="Arial" w:cs="Arial"/>
          <w:sz w:val="21"/>
          <w:szCs w:val="21"/>
        </w:rPr>
      </w:pPr>
    </w:p>
    <w:p w14:paraId="20189A5C" w14:textId="77777777" w:rsidR="007A14C9" w:rsidRDefault="007A14C9" w:rsidP="007A14C9">
      <w:pPr>
        <w:tabs>
          <w:tab w:val="left" w:pos="9356"/>
        </w:tabs>
        <w:spacing w:line="276" w:lineRule="auto"/>
        <w:jc w:val="both"/>
        <w:rPr>
          <w:rFonts w:ascii="Arial" w:eastAsia="Arial Unicode MS" w:hAnsi="Arial" w:cs="Arial"/>
          <w:sz w:val="21"/>
          <w:szCs w:val="21"/>
        </w:rPr>
      </w:pPr>
    </w:p>
    <w:p w14:paraId="6AE689CB" w14:textId="77777777" w:rsidR="007A14C9" w:rsidRDefault="007A14C9" w:rsidP="007A14C9">
      <w:pPr>
        <w:tabs>
          <w:tab w:val="left" w:pos="9356"/>
        </w:tabs>
        <w:spacing w:line="276" w:lineRule="auto"/>
        <w:jc w:val="both"/>
        <w:rPr>
          <w:rFonts w:ascii="Arial" w:eastAsia="Arial Unicode MS" w:hAnsi="Arial" w:cs="Arial"/>
          <w:sz w:val="21"/>
          <w:szCs w:val="21"/>
        </w:rPr>
      </w:pPr>
    </w:p>
    <w:p w14:paraId="294130CD" w14:textId="77777777" w:rsidR="007A14C9" w:rsidRDefault="007A14C9" w:rsidP="007A14C9">
      <w:pPr>
        <w:tabs>
          <w:tab w:val="left" w:pos="9356"/>
        </w:tabs>
        <w:spacing w:line="276" w:lineRule="auto"/>
        <w:jc w:val="both"/>
        <w:rPr>
          <w:rFonts w:ascii="Arial" w:eastAsia="Arial Unicode MS" w:hAnsi="Arial" w:cs="Arial"/>
          <w:b/>
          <w:sz w:val="21"/>
          <w:szCs w:val="21"/>
          <w:lang w:eastAsia="es-MX"/>
        </w:rPr>
      </w:pPr>
    </w:p>
    <w:p w14:paraId="44F9EC48" w14:textId="77777777" w:rsidR="007A14C9" w:rsidRDefault="007A14C9" w:rsidP="007A14C9">
      <w:pPr>
        <w:tabs>
          <w:tab w:val="left" w:pos="9356"/>
        </w:tabs>
        <w:spacing w:line="276" w:lineRule="auto"/>
        <w:jc w:val="center"/>
        <w:rPr>
          <w:rFonts w:ascii="Arial" w:eastAsia="Arial Unicode MS" w:hAnsi="Arial" w:cs="Arial"/>
          <w:b/>
          <w:sz w:val="21"/>
          <w:szCs w:val="21"/>
          <w:lang w:eastAsia="es-MX"/>
        </w:rPr>
      </w:pPr>
      <w:r>
        <w:rPr>
          <w:rFonts w:ascii="Arial" w:eastAsia="Arial Unicode MS" w:hAnsi="Arial" w:cs="Arial"/>
          <w:b/>
          <w:sz w:val="21"/>
          <w:szCs w:val="21"/>
          <w:lang w:eastAsia="es-MX"/>
        </w:rPr>
        <w:t>MTRA. MARÍA ANTONIETA VELÁSQUEZ CHAGOYA,</w:t>
      </w:r>
    </w:p>
    <w:p w14:paraId="42EA6EC2" w14:textId="77777777" w:rsidR="007A14C9" w:rsidRDefault="007A14C9" w:rsidP="007A14C9">
      <w:pPr>
        <w:tabs>
          <w:tab w:val="left" w:pos="9356"/>
        </w:tabs>
        <w:spacing w:line="276" w:lineRule="auto"/>
        <w:jc w:val="center"/>
        <w:rPr>
          <w:rFonts w:ascii="Arial" w:eastAsia="Arial Unicode MS" w:hAnsi="Arial" w:cs="Arial"/>
          <w:sz w:val="21"/>
          <w:szCs w:val="21"/>
          <w:lang w:eastAsia="es-MX"/>
        </w:rPr>
      </w:pPr>
      <w:r>
        <w:rPr>
          <w:rFonts w:ascii="Arial" w:eastAsia="Arial Unicode MS" w:hAnsi="Arial" w:cs="Arial"/>
          <w:sz w:val="21"/>
          <w:szCs w:val="21"/>
          <w:lang w:eastAsia="es-MX"/>
        </w:rPr>
        <w:t>Comisionada Presidenta</w:t>
      </w:r>
    </w:p>
    <w:p w14:paraId="36A7D1D5" w14:textId="77777777" w:rsidR="007A14C9" w:rsidRDefault="007A14C9" w:rsidP="007A14C9">
      <w:pPr>
        <w:tabs>
          <w:tab w:val="left" w:pos="9356"/>
        </w:tabs>
        <w:spacing w:line="276" w:lineRule="auto"/>
        <w:jc w:val="center"/>
        <w:rPr>
          <w:rFonts w:ascii="Arial" w:eastAsia="Arial Unicode MS" w:hAnsi="Arial" w:cs="Arial"/>
          <w:sz w:val="21"/>
          <w:szCs w:val="21"/>
          <w:lang w:eastAsia="es-MX"/>
        </w:rPr>
      </w:pPr>
    </w:p>
    <w:p w14:paraId="5F29AB8C" w14:textId="77777777" w:rsidR="007A14C9" w:rsidRDefault="007A14C9" w:rsidP="007A14C9">
      <w:pPr>
        <w:tabs>
          <w:tab w:val="left" w:pos="9356"/>
        </w:tabs>
        <w:spacing w:line="276" w:lineRule="auto"/>
        <w:jc w:val="center"/>
        <w:rPr>
          <w:rFonts w:ascii="Arial" w:eastAsia="Arial Unicode MS" w:hAnsi="Arial" w:cs="Arial"/>
          <w:b/>
          <w:sz w:val="21"/>
          <w:szCs w:val="21"/>
          <w:lang w:eastAsia="es-MX"/>
        </w:rPr>
      </w:pPr>
    </w:p>
    <w:p w14:paraId="5CA70B86" w14:textId="77777777" w:rsidR="007A14C9" w:rsidRDefault="007A14C9" w:rsidP="007A14C9">
      <w:pPr>
        <w:tabs>
          <w:tab w:val="left" w:pos="9356"/>
        </w:tabs>
        <w:spacing w:line="276" w:lineRule="auto"/>
        <w:jc w:val="center"/>
        <w:rPr>
          <w:rFonts w:ascii="Arial" w:eastAsia="Arial Unicode MS" w:hAnsi="Arial" w:cs="Arial"/>
          <w:b/>
          <w:sz w:val="21"/>
          <w:szCs w:val="21"/>
          <w:lang w:eastAsia="es-MX"/>
        </w:rPr>
      </w:pPr>
    </w:p>
    <w:p w14:paraId="0F720294" w14:textId="77777777" w:rsidR="007A14C9" w:rsidRDefault="007A14C9" w:rsidP="007A14C9">
      <w:pPr>
        <w:tabs>
          <w:tab w:val="left" w:pos="9356"/>
        </w:tabs>
        <w:spacing w:line="276" w:lineRule="auto"/>
        <w:jc w:val="center"/>
        <w:rPr>
          <w:rFonts w:ascii="Arial" w:eastAsia="Arial Unicode MS" w:hAnsi="Arial" w:cs="Arial"/>
          <w:b/>
          <w:sz w:val="21"/>
          <w:szCs w:val="21"/>
          <w:lang w:eastAsia="es-MX"/>
        </w:rPr>
      </w:pPr>
    </w:p>
    <w:p w14:paraId="23D994A6" w14:textId="77777777" w:rsidR="007A14C9" w:rsidRDefault="007A14C9" w:rsidP="007A14C9">
      <w:pPr>
        <w:widowControl w:val="0"/>
        <w:tabs>
          <w:tab w:val="left" w:pos="9356"/>
        </w:tabs>
        <w:spacing w:line="276" w:lineRule="auto"/>
        <w:rPr>
          <w:rFonts w:ascii="Arial" w:eastAsia="Arial Unicode MS" w:hAnsi="Arial" w:cs="Arial"/>
          <w:sz w:val="21"/>
          <w:szCs w:val="21"/>
          <w:lang w:eastAsia="es-ES"/>
        </w:rPr>
      </w:pPr>
    </w:p>
    <w:p w14:paraId="6D287693" w14:textId="77777777" w:rsidR="007A14C9" w:rsidRDefault="007A14C9" w:rsidP="007A14C9">
      <w:pPr>
        <w:tabs>
          <w:tab w:val="left" w:pos="9356"/>
        </w:tabs>
        <w:spacing w:line="276" w:lineRule="auto"/>
        <w:rPr>
          <w:rFonts w:ascii="Arial" w:eastAsia="Arial Unicode MS" w:hAnsi="Arial" w:cs="Arial"/>
          <w:sz w:val="21"/>
          <w:szCs w:val="21"/>
          <w:lang w:eastAsia="es-MX"/>
        </w:rPr>
      </w:pPr>
    </w:p>
    <w:p w14:paraId="4459D02D" w14:textId="77777777" w:rsidR="007A14C9" w:rsidRDefault="007A14C9" w:rsidP="007A14C9">
      <w:pPr>
        <w:tabs>
          <w:tab w:val="left" w:pos="9356"/>
        </w:tabs>
        <w:spacing w:line="276" w:lineRule="auto"/>
        <w:jc w:val="center"/>
        <w:rPr>
          <w:rFonts w:ascii="Arial" w:eastAsia="Arial Unicode MS" w:hAnsi="Arial" w:cs="Arial"/>
          <w:b/>
          <w:sz w:val="21"/>
          <w:szCs w:val="21"/>
          <w:lang w:eastAsia="es-MX"/>
        </w:rPr>
      </w:pPr>
      <w:r>
        <w:rPr>
          <w:rFonts w:ascii="Arial" w:eastAsia="Arial Unicode MS" w:hAnsi="Arial" w:cs="Arial"/>
          <w:b/>
          <w:sz w:val="21"/>
          <w:szCs w:val="21"/>
          <w:lang w:eastAsia="es-MX"/>
        </w:rPr>
        <w:t>LIC. FERNANDO RODOLFO GÓMEZ CUEVAS,</w:t>
      </w:r>
    </w:p>
    <w:p w14:paraId="4494220B" w14:textId="77777777" w:rsidR="007A14C9" w:rsidRDefault="007A14C9" w:rsidP="007A14C9">
      <w:pPr>
        <w:tabs>
          <w:tab w:val="left" w:pos="9356"/>
        </w:tabs>
        <w:spacing w:line="276" w:lineRule="auto"/>
        <w:jc w:val="center"/>
        <w:rPr>
          <w:rFonts w:ascii="Arial" w:eastAsia="Arial Unicode MS" w:hAnsi="Arial" w:cs="Arial"/>
          <w:sz w:val="21"/>
          <w:szCs w:val="21"/>
          <w:lang w:eastAsia="es-MX"/>
        </w:rPr>
      </w:pPr>
      <w:r>
        <w:rPr>
          <w:rFonts w:ascii="Arial" w:eastAsia="Arial Unicode MS" w:hAnsi="Arial" w:cs="Arial"/>
          <w:sz w:val="21"/>
          <w:szCs w:val="21"/>
          <w:lang w:eastAsia="es-MX"/>
        </w:rPr>
        <w:t>Comisionado</w:t>
      </w:r>
    </w:p>
    <w:p w14:paraId="01EAD5B8" w14:textId="77777777" w:rsidR="007A14C9" w:rsidRDefault="007A14C9" w:rsidP="007A14C9">
      <w:pPr>
        <w:tabs>
          <w:tab w:val="left" w:pos="9356"/>
        </w:tabs>
        <w:spacing w:line="276" w:lineRule="auto"/>
        <w:jc w:val="center"/>
        <w:rPr>
          <w:rFonts w:ascii="Arial" w:eastAsia="Arial Unicode MS" w:hAnsi="Arial" w:cs="Arial"/>
          <w:sz w:val="21"/>
          <w:szCs w:val="21"/>
          <w:lang w:eastAsia="es-MX"/>
        </w:rPr>
      </w:pPr>
    </w:p>
    <w:p w14:paraId="29159F87" w14:textId="77777777" w:rsidR="007A14C9" w:rsidRDefault="007A14C9" w:rsidP="007A14C9">
      <w:pPr>
        <w:tabs>
          <w:tab w:val="left" w:pos="9356"/>
        </w:tabs>
        <w:spacing w:line="276" w:lineRule="auto"/>
        <w:jc w:val="center"/>
        <w:rPr>
          <w:rFonts w:ascii="Arial" w:eastAsia="Arial Unicode MS" w:hAnsi="Arial" w:cs="Arial"/>
          <w:sz w:val="21"/>
          <w:szCs w:val="21"/>
          <w:lang w:eastAsia="es-MX"/>
        </w:rPr>
      </w:pPr>
    </w:p>
    <w:p w14:paraId="3D95D3EA" w14:textId="77777777" w:rsidR="007A14C9" w:rsidRDefault="007A14C9" w:rsidP="007A14C9">
      <w:pPr>
        <w:tabs>
          <w:tab w:val="left" w:pos="9356"/>
        </w:tabs>
        <w:spacing w:line="276" w:lineRule="auto"/>
        <w:jc w:val="center"/>
        <w:rPr>
          <w:rFonts w:ascii="Arial" w:eastAsia="Arial Unicode MS" w:hAnsi="Arial" w:cs="Arial"/>
          <w:sz w:val="21"/>
          <w:szCs w:val="21"/>
          <w:lang w:eastAsia="es-MX"/>
        </w:rPr>
      </w:pPr>
    </w:p>
    <w:p w14:paraId="37EF88A2" w14:textId="77777777" w:rsidR="007A14C9" w:rsidRDefault="007A14C9" w:rsidP="007A14C9">
      <w:pPr>
        <w:tabs>
          <w:tab w:val="left" w:pos="9356"/>
        </w:tabs>
        <w:spacing w:line="276" w:lineRule="auto"/>
        <w:jc w:val="center"/>
        <w:rPr>
          <w:rFonts w:ascii="Arial" w:eastAsia="Arial Unicode MS" w:hAnsi="Arial" w:cs="Arial"/>
          <w:sz w:val="21"/>
          <w:szCs w:val="21"/>
          <w:lang w:eastAsia="es-MX"/>
        </w:rPr>
      </w:pPr>
    </w:p>
    <w:p w14:paraId="7B597368" w14:textId="77777777" w:rsidR="007A14C9" w:rsidRDefault="007A14C9" w:rsidP="007A14C9">
      <w:pPr>
        <w:tabs>
          <w:tab w:val="left" w:pos="9356"/>
        </w:tabs>
        <w:spacing w:line="276" w:lineRule="auto"/>
        <w:jc w:val="center"/>
        <w:rPr>
          <w:rFonts w:ascii="Arial" w:eastAsia="Arial Unicode MS" w:hAnsi="Arial" w:cs="Arial"/>
          <w:sz w:val="21"/>
          <w:szCs w:val="21"/>
          <w:lang w:eastAsia="es-MX"/>
        </w:rPr>
      </w:pPr>
    </w:p>
    <w:p w14:paraId="31AD64B4" w14:textId="77777777" w:rsidR="007A14C9" w:rsidRDefault="007A14C9" w:rsidP="007A14C9">
      <w:pPr>
        <w:tabs>
          <w:tab w:val="left" w:pos="9356"/>
        </w:tabs>
        <w:spacing w:line="276" w:lineRule="auto"/>
        <w:jc w:val="center"/>
        <w:rPr>
          <w:rFonts w:ascii="Arial" w:eastAsia="Arial Unicode MS" w:hAnsi="Arial" w:cs="Arial"/>
          <w:b/>
          <w:sz w:val="21"/>
          <w:szCs w:val="21"/>
          <w:lang w:eastAsia="es-MX"/>
        </w:rPr>
      </w:pPr>
      <w:r>
        <w:rPr>
          <w:rFonts w:ascii="Arial" w:eastAsia="Arial Unicode MS" w:hAnsi="Arial" w:cs="Arial"/>
          <w:b/>
          <w:sz w:val="21"/>
          <w:szCs w:val="21"/>
          <w:lang w:eastAsia="es-MX"/>
        </w:rPr>
        <w:t>LIC. GUADALUPE GUSTAVO DÍAZ ALTAMIRANO,</w:t>
      </w:r>
    </w:p>
    <w:p w14:paraId="73B92463" w14:textId="3B3B3B7F" w:rsidR="005D34B7" w:rsidRPr="00A76C3F" w:rsidRDefault="007A14C9" w:rsidP="00A76C3F">
      <w:pPr>
        <w:jc w:val="center"/>
        <w:rPr>
          <w:rFonts w:ascii="Arial" w:hAnsi="Arial" w:cs="Arial"/>
          <w:b/>
        </w:rPr>
      </w:pPr>
      <w:r>
        <w:rPr>
          <w:rFonts w:ascii="Arial" w:eastAsia="Arial Unicode MS" w:hAnsi="Arial" w:cs="Arial"/>
          <w:sz w:val="21"/>
          <w:szCs w:val="21"/>
          <w:lang w:eastAsia="es-MX"/>
        </w:rPr>
        <w:t>Secretario General de Acuerdos</w:t>
      </w:r>
    </w:p>
    <w:p w14:paraId="36DC594E" w14:textId="77777777" w:rsidR="00180AAA" w:rsidRPr="00F10103" w:rsidRDefault="00180AAA" w:rsidP="0018184F">
      <w:pPr>
        <w:jc w:val="center"/>
        <w:rPr>
          <w:rFonts w:eastAsia="Arial Unicode MS" w:cstheme="minorHAnsi"/>
          <w:b/>
        </w:rPr>
      </w:pPr>
    </w:p>
    <w:p w14:paraId="22F2F455" w14:textId="77777777" w:rsidR="00180AAA" w:rsidRPr="00F10103" w:rsidRDefault="00180AAA" w:rsidP="0018184F">
      <w:pPr>
        <w:jc w:val="center"/>
        <w:rPr>
          <w:rFonts w:eastAsia="Arial Unicode MS" w:cstheme="minorHAnsi"/>
          <w:b/>
        </w:rPr>
      </w:pPr>
    </w:p>
    <w:p w14:paraId="792835CA" w14:textId="77777777" w:rsidR="00180AAA" w:rsidRPr="00F10103" w:rsidRDefault="00180AAA" w:rsidP="0018184F">
      <w:pPr>
        <w:jc w:val="center"/>
        <w:rPr>
          <w:rFonts w:eastAsia="Arial Unicode MS" w:cstheme="minorHAnsi"/>
          <w:b/>
        </w:rPr>
      </w:pPr>
    </w:p>
    <w:p w14:paraId="7B535D40" w14:textId="3AC02338" w:rsidR="00CE37A0" w:rsidRPr="00F10103" w:rsidRDefault="0018184F" w:rsidP="00397257">
      <w:pPr>
        <w:jc w:val="center"/>
        <w:rPr>
          <w:rFonts w:cstheme="minorHAnsi"/>
        </w:rPr>
      </w:pPr>
      <w:r w:rsidRPr="00F10103">
        <w:rPr>
          <w:rFonts w:eastAsia="Arial Unicode MS" w:cstheme="minorHAnsi"/>
          <w:noProof/>
          <w:lang w:eastAsia="es-MX"/>
        </w:rPr>
        <w:drawing>
          <wp:anchor distT="0" distB="0" distL="114300" distR="114300" simplePos="0" relativeHeight="251666432" behindDoc="1" locked="0" layoutInCell="1" allowOverlap="1" wp14:anchorId="7CAF44B5" wp14:editId="6AEBBE4D">
            <wp:simplePos x="0" y="0"/>
            <wp:positionH relativeFrom="column">
              <wp:posOffset>12700</wp:posOffset>
            </wp:positionH>
            <wp:positionV relativeFrom="paragraph">
              <wp:posOffset>9077325</wp:posOffset>
            </wp:positionV>
            <wp:extent cx="7750175" cy="1114425"/>
            <wp:effectExtent l="0" t="0" r="3175" b="9525"/>
            <wp:wrapNone/>
            <wp:docPr id="1" name="Imagen 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103">
        <w:rPr>
          <w:rFonts w:eastAsia="Arial Unicode MS" w:cstheme="minorHAnsi"/>
          <w:noProof/>
          <w:lang w:eastAsia="es-MX"/>
        </w:rPr>
        <w:drawing>
          <wp:anchor distT="0" distB="0" distL="114300" distR="114300" simplePos="0" relativeHeight="251665408" behindDoc="1" locked="0" layoutInCell="1" allowOverlap="1" wp14:anchorId="70F07533" wp14:editId="53CD0EA7">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103">
        <w:rPr>
          <w:rFonts w:eastAsia="Arial Unicode MS" w:cstheme="minorHAnsi"/>
          <w:noProof/>
          <w:lang w:eastAsia="es-MX"/>
        </w:rPr>
        <w:drawing>
          <wp:anchor distT="0" distB="0" distL="114300" distR="114300" simplePos="0" relativeHeight="251664384" behindDoc="1" locked="0" layoutInCell="1" allowOverlap="1" wp14:anchorId="7CB7F082" wp14:editId="3792B53F">
            <wp:simplePos x="0" y="0"/>
            <wp:positionH relativeFrom="column">
              <wp:posOffset>12700</wp:posOffset>
            </wp:positionH>
            <wp:positionV relativeFrom="paragraph">
              <wp:posOffset>9077325</wp:posOffset>
            </wp:positionV>
            <wp:extent cx="7750175" cy="1114425"/>
            <wp:effectExtent l="0" t="0" r="3175" b="9525"/>
            <wp:wrapNone/>
            <wp:docPr id="3" name="Imagen 3"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103">
        <w:rPr>
          <w:rFonts w:eastAsia="Arial Unicode MS" w:cstheme="minorHAnsi"/>
          <w:noProof/>
          <w:lang w:eastAsia="es-MX"/>
        </w:rPr>
        <w:drawing>
          <wp:anchor distT="0" distB="0" distL="114300" distR="114300" simplePos="0" relativeHeight="251663360" behindDoc="1" locked="0" layoutInCell="1" allowOverlap="1" wp14:anchorId="123FFBD8" wp14:editId="3BAD4BA9">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103">
        <w:rPr>
          <w:rFonts w:eastAsia="Arial Unicode MS" w:cstheme="minorHAnsi"/>
          <w:noProof/>
          <w:lang w:eastAsia="es-MX"/>
        </w:rPr>
        <w:drawing>
          <wp:anchor distT="0" distB="0" distL="114300" distR="114300" simplePos="0" relativeHeight="251662336" behindDoc="1" locked="0" layoutInCell="1" allowOverlap="1" wp14:anchorId="023C6319" wp14:editId="61B25B3F">
            <wp:simplePos x="0" y="0"/>
            <wp:positionH relativeFrom="column">
              <wp:posOffset>12700</wp:posOffset>
            </wp:positionH>
            <wp:positionV relativeFrom="paragraph">
              <wp:posOffset>9077325</wp:posOffset>
            </wp:positionV>
            <wp:extent cx="7750175" cy="1114425"/>
            <wp:effectExtent l="0" t="0" r="3175" b="9525"/>
            <wp:wrapNone/>
            <wp:docPr id="5" name="Imagen 5"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103">
        <w:rPr>
          <w:rFonts w:eastAsia="Arial Unicode MS" w:cstheme="minorHAnsi"/>
          <w:noProof/>
          <w:lang w:eastAsia="es-MX"/>
        </w:rPr>
        <w:drawing>
          <wp:anchor distT="0" distB="0" distL="114300" distR="114300" simplePos="0" relativeHeight="251661312" behindDoc="1" locked="0" layoutInCell="1" allowOverlap="1" wp14:anchorId="12635D54" wp14:editId="0900170B">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103">
        <w:rPr>
          <w:rFonts w:eastAsia="Arial Unicode MS" w:cstheme="minorHAnsi"/>
          <w:noProof/>
          <w:lang w:eastAsia="es-MX"/>
        </w:rPr>
        <w:drawing>
          <wp:anchor distT="0" distB="0" distL="114300" distR="114300" simplePos="0" relativeHeight="251660288" behindDoc="1" locked="0" layoutInCell="1" allowOverlap="1" wp14:anchorId="6380A4F6" wp14:editId="59455266">
            <wp:simplePos x="0" y="0"/>
            <wp:positionH relativeFrom="column">
              <wp:posOffset>12700</wp:posOffset>
            </wp:positionH>
            <wp:positionV relativeFrom="paragraph">
              <wp:posOffset>9077325</wp:posOffset>
            </wp:positionV>
            <wp:extent cx="7750175" cy="1114425"/>
            <wp:effectExtent l="0" t="0" r="3175" b="9525"/>
            <wp:wrapNone/>
            <wp:docPr id="7" name="Imagen 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103">
        <w:rPr>
          <w:rFonts w:eastAsia="Arial Unicode MS" w:cstheme="minorHAnsi"/>
          <w:noProof/>
          <w:lang w:eastAsia="es-MX"/>
        </w:rPr>
        <w:drawing>
          <wp:anchor distT="0" distB="0" distL="114300" distR="114300" simplePos="0" relativeHeight="251659264" behindDoc="1" locked="0" layoutInCell="1" allowOverlap="1" wp14:anchorId="5376F582" wp14:editId="15B56FFE">
            <wp:simplePos x="0" y="0"/>
            <wp:positionH relativeFrom="column">
              <wp:posOffset>12700</wp:posOffset>
            </wp:positionH>
            <wp:positionV relativeFrom="paragraph">
              <wp:posOffset>9077325</wp:posOffset>
            </wp:positionV>
            <wp:extent cx="7750175" cy="1114425"/>
            <wp:effectExtent l="0" t="0" r="3175" b="9525"/>
            <wp:wrapNone/>
            <wp:docPr id="8" name="Imagen 8"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E37A0" w:rsidRPr="00F10103" w:rsidSect="00F4706E">
      <w:headerReference w:type="default" r:id="rId10"/>
      <w:footerReference w:type="default" r:id="rId11"/>
      <w:pgSz w:w="12240" w:h="20160" w:code="5"/>
      <w:pgMar w:top="2268" w:right="1701" w:bottom="1701" w:left="1276" w:header="1134" w:footer="709" w:gutter="0"/>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57397" w14:textId="77777777" w:rsidR="002B3AEE" w:rsidRDefault="002B3AEE" w:rsidP="00505074">
      <w:r>
        <w:separator/>
      </w:r>
    </w:p>
  </w:endnote>
  <w:endnote w:type="continuationSeparator" w:id="0">
    <w:p w14:paraId="2205A21F" w14:textId="77777777" w:rsidR="002B3AEE" w:rsidRDefault="002B3AEE"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Open Sans"/>
    <w:charset w:val="00"/>
    <w:family w:val="swiss"/>
    <w:pitch w:val="variable"/>
    <w:sig w:usb0="E00002EF" w:usb1="4000205B" w:usb2="00000028" w:usb3="00000000" w:csb0="0000019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288790"/>
      <w:docPartObj>
        <w:docPartGallery w:val="Page Numbers (Bottom of Page)"/>
        <w:docPartUnique/>
      </w:docPartObj>
    </w:sdtPr>
    <w:sdtEndPr/>
    <w:sdtContent>
      <w:sdt>
        <w:sdtPr>
          <w:id w:val="1413434778"/>
          <w:docPartObj>
            <w:docPartGallery w:val="Page Numbers (Top of Page)"/>
            <w:docPartUnique/>
          </w:docPartObj>
        </w:sdtPr>
        <w:sdtEndPr/>
        <w:sdtContent>
          <w:p w14:paraId="0BD16748" w14:textId="28D2DEF9" w:rsidR="00143BED" w:rsidRDefault="00143BED">
            <w:pPr>
              <w:pStyle w:val="Piedepgina"/>
              <w:jc w:val="right"/>
            </w:pPr>
            <w:r>
              <w:rPr>
                <w:lang w:val="es-ES"/>
              </w:rPr>
              <w:t xml:space="preserve">Página </w:t>
            </w:r>
            <w:r>
              <w:rPr>
                <w:b/>
                <w:bCs/>
              </w:rPr>
              <w:fldChar w:fldCharType="begin"/>
            </w:r>
            <w:r>
              <w:rPr>
                <w:b/>
                <w:bCs/>
              </w:rPr>
              <w:instrText>PAGE</w:instrText>
            </w:r>
            <w:r>
              <w:rPr>
                <w:b/>
                <w:bCs/>
              </w:rPr>
              <w:fldChar w:fldCharType="separate"/>
            </w:r>
            <w:r w:rsidR="00062CF8">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062CF8">
              <w:rPr>
                <w:b/>
                <w:bCs/>
                <w:noProof/>
              </w:rPr>
              <w:t>3</w:t>
            </w:r>
            <w:r>
              <w:rPr>
                <w:b/>
                <w:bCs/>
              </w:rPr>
              <w:fldChar w:fldCharType="end"/>
            </w:r>
          </w:p>
        </w:sdtContent>
      </w:sdt>
    </w:sdtContent>
  </w:sdt>
  <w:p w14:paraId="10CD2423" w14:textId="1A5365EE" w:rsidR="00143BED" w:rsidRDefault="00143B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28903" w14:textId="77777777" w:rsidR="002B3AEE" w:rsidRDefault="002B3AEE" w:rsidP="00505074">
      <w:r>
        <w:separator/>
      </w:r>
    </w:p>
  </w:footnote>
  <w:footnote w:type="continuationSeparator" w:id="0">
    <w:p w14:paraId="7FD53736" w14:textId="77777777" w:rsidR="002B3AEE" w:rsidRDefault="002B3AEE"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3F284" w14:textId="72F515D9" w:rsidR="00143BED" w:rsidRDefault="00143BED">
    <w:pPr>
      <w:pStyle w:val="Encabezado"/>
    </w:pPr>
    <w:r>
      <w:rPr>
        <w:rFonts w:ascii="Open Sans" w:eastAsia="Times New Roman" w:hAnsi="Open Sans" w:cs="Open Sans"/>
        <w:noProof/>
        <w:color w:val="000000"/>
        <w:sz w:val="21"/>
        <w:szCs w:val="21"/>
        <w:lang w:eastAsia="es-MX"/>
      </w:rPr>
      <w:drawing>
        <wp:anchor distT="0" distB="0" distL="114300" distR="114300" simplePos="0" relativeHeight="251672576" behindDoc="0" locked="0" layoutInCell="1" allowOverlap="1" wp14:anchorId="3F541A32" wp14:editId="2B46CCB5">
          <wp:simplePos x="0" y="0"/>
          <wp:positionH relativeFrom="margin">
            <wp:posOffset>-374015</wp:posOffset>
          </wp:positionH>
          <wp:positionV relativeFrom="paragraph">
            <wp:posOffset>-312390</wp:posOffset>
          </wp:positionV>
          <wp:extent cx="6355023" cy="105955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F02"/>
    <w:multiLevelType w:val="hybridMultilevel"/>
    <w:tmpl w:val="B04E40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004B56"/>
    <w:multiLevelType w:val="hybridMultilevel"/>
    <w:tmpl w:val="EB42CC5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6017D62"/>
    <w:multiLevelType w:val="hybridMultilevel"/>
    <w:tmpl w:val="910E46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6E135E"/>
    <w:multiLevelType w:val="hybridMultilevel"/>
    <w:tmpl w:val="7CF2DA24"/>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nsid w:val="132365D5"/>
    <w:multiLevelType w:val="hybridMultilevel"/>
    <w:tmpl w:val="E10AF520"/>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53F4731"/>
    <w:multiLevelType w:val="hybridMultilevel"/>
    <w:tmpl w:val="7A686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7676D9"/>
    <w:multiLevelType w:val="hybridMultilevel"/>
    <w:tmpl w:val="881281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596471"/>
    <w:multiLevelType w:val="hybridMultilevel"/>
    <w:tmpl w:val="FAFC39B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1F3154AE"/>
    <w:multiLevelType w:val="hybridMultilevel"/>
    <w:tmpl w:val="AE5EED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B44545"/>
    <w:multiLevelType w:val="hybridMultilevel"/>
    <w:tmpl w:val="76F06DDA"/>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FE789A"/>
    <w:multiLevelType w:val="hybridMultilevel"/>
    <w:tmpl w:val="26CE05C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23FF15DB"/>
    <w:multiLevelType w:val="hybridMultilevel"/>
    <w:tmpl w:val="685AA4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54B62DA"/>
    <w:multiLevelType w:val="hybridMultilevel"/>
    <w:tmpl w:val="7A686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68F7D7D"/>
    <w:multiLevelType w:val="hybridMultilevel"/>
    <w:tmpl w:val="121067A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33173DC9"/>
    <w:multiLevelType w:val="hybridMultilevel"/>
    <w:tmpl w:val="15361DF4"/>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375440B4"/>
    <w:multiLevelType w:val="hybridMultilevel"/>
    <w:tmpl w:val="01B82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B5E6F6F"/>
    <w:multiLevelType w:val="hybridMultilevel"/>
    <w:tmpl w:val="9AB6C532"/>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7">
    <w:nsid w:val="5E856606"/>
    <w:multiLevelType w:val="hybridMultilevel"/>
    <w:tmpl w:val="8146C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F631786"/>
    <w:multiLevelType w:val="hybridMultilevel"/>
    <w:tmpl w:val="63C616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659307F6"/>
    <w:multiLevelType w:val="hybridMultilevel"/>
    <w:tmpl w:val="3720587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4612BB"/>
    <w:multiLevelType w:val="hybridMultilevel"/>
    <w:tmpl w:val="76F06DDA"/>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DA46B57"/>
    <w:multiLevelType w:val="hybridMultilevel"/>
    <w:tmpl w:val="514AFA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F753904"/>
    <w:multiLevelType w:val="hybridMultilevel"/>
    <w:tmpl w:val="170EE3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31253CD"/>
    <w:multiLevelType w:val="hybridMultilevel"/>
    <w:tmpl w:val="1CB257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5226BB3"/>
    <w:multiLevelType w:val="hybridMultilevel"/>
    <w:tmpl w:val="176CC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5BE4DA2"/>
    <w:multiLevelType w:val="hybridMultilevel"/>
    <w:tmpl w:val="62DC0476"/>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75C97E75"/>
    <w:multiLevelType w:val="hybridMultilevel"/>
    <w:tmpl w:val="B0E00A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nsid w:val="76892CB8"/>
    <w:multiLevelType w:val="hybridMultilevel"/>
    <w:tmpl w:val="BAD044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A0260F6"/>
    <w:multiLevelType w:val="hybridMultilevel"/>
    <w:tmpl w:val="F2CE4AC4"/>
    <w:lvl w:ilvl="0" w:tplc="D89EB4C0">
      <w:start w:val="1"/>
      <w:numFmt w:val="decimal"/>
      <w:lvlText w:val="%1."/>
      <w:lvlJc w:val="left"/>
      <w:pPr>
        <w:ind w:left="1065" w:hanging="705"/>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B123DFA"/>
    <w:multiLevelType w:val="hybridMultilevel"/>
    <w:tmpl w:val="A66880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B3B6C8D"/>
    <w:multiLevelType w:val="hybridMultilevel"/>
    <w:tmpl w:val="63BED1D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0"/>
  </w:num>
  <w:num w:numId="2">
    <w:abstractNumId w:val="21"/>
  </w:num>
  <w:num w:numId="3">
    <w:abstractNumId w:val="12"/>
  </w:num>
  <w:num w:numId="4">
    <w:abstractNumId w:val="5"/>
  </w:num>
  <w:num w:numId="5">
    <w:abstractNumId w:val="22"/>
  </w:num>
  <w:num w:numId="6">
    <w:abstractNumId w:val="27"/>
  </w:num>
  <w:num w:numId="7">
    <w:abstractNumId w:val="17"/>
  </w:num>
  <w:num w:numId="8">
    <w:abstractNumId w:val="28"/>
  </w:num>
  <w:num w:numId="9">
    <w:abstractNumId w:val="24"/>
  </w:num>
  <w:num w:numId="10">
    <w:abstractNumId w:val="8"/>
  </w:num>
  <w:num w:numId="11">
    <w:abstractNumId w:val="16"/>
  </w:num>
  <w:num w:numId="12">
    <w:abstractNumId w:val="2"/>
  </w:num>
  <w:num w:numId="13">
    <w:abstractNumId w:val="6"/>
  </w:num>
  <w:num w:numId="14">
    <w:abstractNumId w:val="23"/>
  </w:num>
  <w:num w:numId="15">
    <w:abstractNumId w:val="29"/>
  </w:num>
  <w:num w:numId="16">
    <w:abstractNumId w:val="11"/>
  </w:num>
  <w:num w:numId="17">
    <w:abstractNumId w:val="19"/>
  </w:num>
  <w:num w:numId="18">
    <w:abstractNumId w:val="9"/>
  </w:num>
  <w:num w:numId="19">
    <w:abstractNumId w:val="0"/>
  </w:num>
  <w:num w:numId="20">
    <w:abstractNumId w:val="10"/>
  </w:num>
  <w:num w:numId="21">
    <w:abstractNumId w:val="7"/>
  </w:num>
  <w:num w:numId="22">
    <w:abstractNumId w:val="15"/>
  </w:num>
  <w:num w:numId="23">
    <w:abstractNumId w:val="13"/>
  </w:num>
  <w:num w:numId="24">
    <w:abstractNumId w:val="4"/>
  </w:num>
  <w:num w:numId="25">
    <w:abstractNumId w:val="25"/>
  </w:num>
  <w:num w:numId="26">
    <w:abstractNumId w:val="1"/>
  </w:num>
  <w:num w:numId="27">
    <w:abstractNumId w:val="30"/>
  </w:num>
  <w:num w:numId="28">
    <w:abstractNumId w:val="14"/>
  </w:num>
  <w:num w:numId="29">
    <w:abstractNumId w:val="3"/>
  </w:num>
  <w:num w:numId="30">
    <w:abstractNumId w:val="18"/>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74"/>
    <w:rsid w:val="000004F2"/>
    <w:rsid w:val="0000533D"/>
    <w:rsid w:val="000111A2"/>
    <w:rsid w:val="00023473"/>
    <w:rsid w:val="000234A6"/>
    <w:rsid w:val="00035ED0"/>
    <w:rsid w:val="000605F3"/>
    <w:rsid w:val="00062CF8"/>
    <w:rsid w:val="00075AB7"/>
    <w:rsid w:val="0008299D"/>
    <w:rsid w:val="00085CD0"/>
    <w:rsid w:val="000D4A07"/>
    <w:rsid w:val="000E0344"/>
    <w:rsid w:val="000E3A79"/>
    <w:rsid w:val="000E50EE"/>
    <w:rsid w:val="000E6A18"/>
    <w:rsid w:val="00101DB0"/>
    <w:rsid w:val="00112CD7"/>
    <w:rsid w:val="00114446"/>
    <w:rsid w:val="00127365"/>
    <w:rsid w:val="00135DC0"/>
    <w:rsid w:val="00141343"/>
    <w:rsid w:val="001413D3"/>
    <w:rsid w:val="00143BED"/>
    <w:rsid w:val="00146BA4"/>
    <w:rsid w:val="001476DB"/>
    <w:rsid w:val="00150315"/>
    <w:rsid w:val="0016221E"/>
    <w:rsid w:val="00171355"/>
    <w:rsid w:val="00172DDC"/>
    <w:rsid w:val="0017708C"/>
    <w:rsid w:val="00180AAA"/>
    <w:rsid w:val="0018184F"/>
    <w:rsid w:val="00191709"/>
    <w:rsid w:val="001A1355"/>
    <w:rsid w:val="001B1543"/>
    <w:rsid w:val="001C3A24"/>
    <w:rsid w:val="001C5977"/>
    <w:rsid w:val="001D30EE"/>
    <w:rsid w:val="001E5874"/>
    <w:rsid w:val="001F408B"/>
    <w:rsid w:val="002025B5"/>
    <w:rsid w:val="002106BF"/>
    <w:rsid w:val="0022619A"/>
    <w:rsid w:val="00230C27"/>
    <w:rsid w:val="00235141"/>
    <w:rsid w:val="00236415"/>
    <w:rsid w:val="00236721"/>
    <w:rsid w:val="0023708E"/>
    <w:rsid w:val="002449D8"/>
    <w:rsid w:val="00245C08"/>
    <w:rsid w:val="002527E8"/>
    <w:rsid w:val="002540DB"/>
    <w:rsid w:val="0027418D"/>
    <w:rsid w:val="002816DE"/>
    <w:rsid w:val="00285EE6"/>
    <w:rsid w:val="00287DBA"/>
    <w:rsid w:val="00290F92"/>
    <w:rsid w:val="00293AE8"/>
    <w:rsid w:val="00296252"/>
    <w:rsid w:val="002B3AEE"/>
    <w:rsid w:val="002C0289"/>
    <w:rsid w:val="002C2250"/>
    <w:rsid w:val="002C5295"/>
    <w:rsid w:val="002C7861"/>
    <w:rsid w:val="002E667B"/>
    <w:rsid w:val="002E75FF"/>
    <w:rsid w:val="002F3257"/>
    <w:rsid w:val="002F5C46"/>
    <w:rsid w:val="003002B7"/>
    <w:rsid w:val="00314375"/>
    <w:rsid w:val="00320B59"/>
    <w:rsid w:val="00323CD9"/>
    <w:rsid w:val="00337BDC"/>
    <w:rsid w:val="00337DAA"/>
    <w:rsid w:val="00341D68"/>
    <w:rsid w:val="00347446"/>
    <w:rsid w:val="0035429E"/>
    <w:rsid w:val="00354960"/>
    <w:rsid w:val="0037163E"/>
    <w:rsid w:val="003828A3"/>
    <w:rsid w:val="00397257"/>
    <w:rsid w:val="003B5549"/>
    <w:rsid w:val="003C2C3F"/>
    <w:rsid w:val="003E17CD"/>
    <w:rsid w:val="003F7C21"/>
    <w:rsid w:val="0040135A"/>
    <w:rsid w:val="00405C79"/>
    <w:rsid w:val="00420E74"/>
    <w:rsid w:val="004333EA"/>
    <w:rsid w:val="004507B8"/>
    <w:rsid w:val="00461B52"/>
    <w:rsid w:val="0047275E"/>
    <w:rsid w:val="00472975"/>
    <w:rsid w:val="00474B84"/>
    <w:rsid w:val="00477309"/>
    <w:rsid w:val="0049196F"/>
    <w:rsid w:val="00494A99"/>
    <w:rsid w:val="004B1798"/>
    <w:rsid w:val="004D2EEE"/>
    <w:rsid w:val="004E0A6E"/>
    <w:rsid w:val="004E613D"/>
    <w:rsid w:val="00501627"/>
    <w:rsid w:val="00505074"/>
    <w:rsid w:val="00507FD6"/>
    <w:rsid w:val="00521F66"/>
    <w:rsid w:val="00524B80"/>
    <w:rsid w:val="00535180"/>
    <w:rsid w:val="00537CE1"/>
    <w:rsid w:val="005516B4"/>
    <w:rsid w:val="00567FFC"/>
    <w:rsid w:val="00577C8E"/>
    <w:rsid w:val="005A1CE1"/>
    <w:rsid w:val="005B393F"/>
    <w:rsid w:val="005C266B"/>
    <w:rsid w:val="005C5B89"/>
    <w:rsid w:val="005D34B7"/>
    <w:rsid w:val="005D3FF2"/>
    <w:rsid w:val="005D688D"/>
    <w:rsid w:val="005E2BCC"/>
    <w:rsid w:val="005F0109"/>
    <w:rsid w:val="005F0781"/>
    <w:rsid w:val="005F74B2"/>
    <w:rsid w:val="00612CE1"/>
    <w:rsid w:val="0061401C"/>
    <w:rsid w:val="00636341"/>
    <w:rsid w:val="00641161"/>
    <w:rsid w:val="00662048"/>
    <w:rsid w:val="006647D2"/>
    <w:rsid w:val="006656D4"/>
    <w:rsid w:val="0068176D"/>
    <w:rsid w:val="00681B86"/>
    <w:rsid w:val="00692B1C"/>
    <w:rsid w:val="006954B4"/>
    <w:rsid w:val="006C7316"/>
    <w:rsid w:val="006D3E97"/>
    <w:rsid w:val="006E7692"/>
    <w:rsid w:val="00712FFE"/>
    <w:rsid w:val="00720E5A"/>
    <w:rsid w:val="007347EB"/>
    <w:rsid w:val="00735AA7"/>
    <w:rsid w:val="00742B33"/>
    <w:rsid w:val="007821CE"/>
    <w:rsid w:val="007875C2"/>
    <w:rsid w:val="007A14C9"/>
    <w:rsid w:val="007A53EA"/>
    <w:rsid w:val="007B5B6B"/>
    <w:rsid w:val="007E4ECC"/>
    <w:rsid w:val="007F25C8"/>
    <w:rsid w:val="00801920"/>
    <w:rsid w:val="00813E79"/>
    <w:rsid w:val="008170BF"/>
    <w:rsid w:val="00841901"/>
    <w:rsid w:val="008419A9"/>
    <w:rsid w:val="0084295A"/>
    <w:rsid w:val="0084503C"/>
    <w:rsid w:val="00846A99"/>
    <w:rsid w:val="008471EA"/>
    <w:rsid w:val="00850EC1"/>
    <w:rsid w:val="00856FAA"/>
    <w:rsid w:val="008A3018"/>
    <w:rsid w:val="008A327E"/>
    <w:rsid w:val="008A484C"/>
    <w:rsid w:val="008B2636"/>
    <w:rsid w:val="008C26D0"/>
    <w:rsid w:val="008C6112"/>
    <w:rsid w:val="008D11EF"/>
    <w:rsid w:val="008D1CB7"/>
    <w:rsid w:val="008E23A4"/>
    <w:rsid w:val="009179C5"/>
    <w:rsid w:val="00920943"/>
    <w:rsid w:val="009341C6"/>
    <w:rsid w:val="009509DD"/>
    <w:rsid w:val="00950D3C"/>
    <w:rsid w:val="00965512"/>
    <w:rsid w:val="0098563A"/>
    <w:rsid w:val="00990C6C"/>
    <w:rsid w:val="00991598"/>
    <w:rsid w:val="009A3074"/>
    <w:rsid w:val="009A3B85"/>
    <w:rsid w:val="009A66CF"/>
    <w:rsid w:val="009B2B26"/>
    <w:rsid w:val="009C0931"/>
    <w:rsid w:val="009C156E"/>
    <w:rsid w:val="009C58F4"/>
    <w:rsid w:val="00A01FDE"/>
    <w:rsid w:val="00A14508"/>
    <w:rsid w:val="00A239DA"/>
    <w:rsid w:val="00A26891"/>
    <w:rsid w:val="00A279C3"/>
    <w:rsid w:val="00A372BB"/>
    <w:rsid w:val="00A45E45"/>
    <w:rsid w:val="00A52B8B"/>
    <w:rsid w:val="00A56332"/>
    <w:rsid w:val="00A60906"/>
    <w:rsid w:val="00A6572F"/>
    <w:rsid w:val="00A76C3F"/>
    <w:rsid w:val="00AA030B"/>
    <w:rsid w:val="00AB1152"/>
    <w:rsid w:val="00AB2CB9"/>
    <w:rsid w:val="00AD3808"/>
    <w:rsid w:val="00AD65CB"/>
    <w:rsid w:val="00AE26A6"/>
    <w:rsid w:val="00AE3ACF"/>
    <w:rsid w:val="00AE3EEA"/>
    <w:rsid w:val="00B10EFD"/>
    <w:rsid w:val="00B278B3"/>
    <w:rsid w:val="00B32F6C"/>
    <w:rsid w:val="00B61874"/>
    <w:rsid w:val="00B7711C"/>
    <w:rsid w:val="00B81E6F"/>
    <w:rsid w:val="00B83B87"/>
    <w:rsid w:val="00B856BA"/>
    <w:rsid w:val="00B97E4F"/>
    <w:rsid w:val="00BA6934"/>
    <w:rsid w:val="00BB2398"/>
    <w:rsid w:val="00BB4AFE"/>
    <w:rsid w:val="00BE2DC6"/>
    <w:rsid w:val="00C07082"/>
    <w:rsid w:val="00C10B5E"/>
    <w:rsid w:val="00C211FA"/>
    <w:rsid w:val="00C21D71"/>
    <w:rsid w:val="00C25E29"/>
    <w:rsid w:val="00C335F7"/>
    <w:rsid w:val="00C353AC"/>
    <w:rsid w:val="00C37CFB"/>
    <w:rsid w:val="00C4212D"/>
    <w:rsid w:val="00C446B6"/>
    <w:rsid w:val="00C4729E"/>
    <w:rsid w:val="00C65556"/>
    <w:rsid w:val="00C70381"/>
    <w:rsid w:val="00C74927"/>
    <w:rsid w:val="00C82999"/>
    <w:rsid w:val="00C96D55"/>
    <w:rsid w:val="00CB3228"/>
    <w:rsid w:val="00CB62C3"/>
    <w:rsid w:val="00CB7833"/>
    <w:rsid w:val="00CC259C"/>
    <w:rsid w:val="00CC6D9D"/>
    <w:rsid w:val="00CD391E"/>
    <w:rsid w:val="00CD5422"/>
    <w:rsid w:val="00CE37A0"/>
    <w:rsid w:val="00CE6E67"/>
    <w:rsid w:val="00CF673C"/>
    <w:rsid w:val="00D06E7C"/>
    <w:rsid w:val="00D24DBA"/>
    <w:rsid w:val="00D27293"/>
    <w:rsid w:val="00D53962"/>
    <w:rsid w:val="00D56B80"/>
    <w:rsid w:val="00D60B60"/>
    <w:rsid w:val="00D6662D"/>
    <w:rsid w:val="00D828BF"/>
    <w:rsid w:val="00D91EDC"/>
    <w:rsid w:val="00D96B13"/>
    <w:rsid w:val="00DA289B"/>
    <w:rsid w:val="00DA45BF"/>
    <w:rsid w:val="00DA470D"/>
    <w:rsid w:val="00DC1402"/>
    <w:rsid w:val="00DC2126"/>
    <w:rsid w:val="00DC65C4"/>
    <w:rsid w:val="00DD3C71"/>
    <w:rsid w:val="00DE2873"/>
    <w:rsid w:val="00DE423F"/>
    <w:rsid w:val="00E04D42"/>
    <w:rsid w:val="00E110A8"/>
    <w:rsid w:val="00E52C2E"/>
    <w:rsid w:val="00E55F6F"/>
    <w:rsid w:val="00E627E9"/>
    <w:rsid w:val="00E62F76"/>
    <w:rsid w:val="00E8333B"/>
    <w:rsid w:val="00E83BED"/>
    <w:rsid w:val="00EB444B"/>
    <w:rsid w:val="00EB61C7"/>
    <w:rsid w:val="00ED18D4"/>
    <w:rsid w:val="00ED5896"/>
    <w:rsid w:val="00EE48C4"/>
    <w:rsid w:val="00F023FE"/>
    <w:rsid w:val="00F10103"/>
    <w:rsid w:val="00F16631"/>
    <w:rsid w:val="00F271D8"/>
    <w:rsid w:val="00F3124C"/>
    <w:rsid w:val="00F36284"/>
    <w:rsid w:val="00F43D02"/>
    <w:rsid w:val="00F4706E"/>
    <w:rsid w:val="00F54A52"/>
    <w:rsid w:val="00F56F58"/>
    <w:rsid w:val="00F712E4"/>
    <w:rsid w:val="00F741F8"/>
    <w:rsid w:val="00F75118"/>
    <w:rsid w:val="00F854FE"/>
    <w:rsid w:val="00FB2897"/>
    <w:rsid w:val="00FE56AF"/>
    <w:rsid w:val="00FF78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85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link w:val="PrrafodelistaCar"/>
    <w:uiPriority w:val="1"/>
    <w:qFormat/>
    <w:rsid w:val="005D34B7"/>
    <w:pPr>
      <w:ind w:left="720"/>
      <w:contextualSpacing/>
    </w:pPr>
  </w:style>
  <w:style w:type="character" w:customStyle="1" w:styleId="PrrafodelistaCar">
    <w:name w:val="Párrafo de lista Car"/>
    <w:link w:val="Prrafodelista"/>
    <w:uiPriority w:val="1"/>
    <w:locked/>
    <w:rsid w:val="007A14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link w:val="PrrafodelistaCar"/>
    <w:uiPriority w:val="1"/>
    <w:qFormat/>
    <w:rsid w:val="005D34B7"/>
    <w:pPr>
      <w:ind w:left="720"/>
      <w:contextualSpacing/>
    </w:pPr>
  </w:style>
  <w:style w:type="character" w:customStyle="1" w:styleId="PrrafodelistaCar">
    <w:name w:val="Párrafo de lista Car"/>
    <w:link w:val="Prrafodelista"/>
    <w:uiPriority w:val="1"/>
    <w:locked/>
    <w:rsid w:val="007A1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85926783">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2DF12-A181-47BF-A94A-67D9231F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3</Pages>
  <Words>1417</Words>
  <Characters>7798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sinai</cp:lastModifiedBy>
  <cp:revision>14</cp:revision>
  <cp:lastPrinted>2021-06-28T18:59:00Z</cp:lastPrinted>
  <dcterms:created xsi:type="dcterms:W3CDTF">2021-06-22T16:38:00Z</dcterms:created>
  <dcterms:modified xsi:type="dcterms:W3CDTF">2021-06-28T19:00:00Z</dcterms:modified>
</cp:coreProperties>
</file>