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51F1" w14:textId="77777777" w:rsidR="00C92C1E" w:rsidRDefault="00FD221E" w:rsidP="00C92C1E">
      <w:pPr>
        <w:spacing w:line="276" w:lineRule="auto"/>
        <w:contextualSpacing/>
        <w:jc w:val="both"/>
        <w:rPr>
          <w:rFonts w:ascii="Arial" w:eastAsia="Arial Unicode MS" w:hAnsi="Arial" w:cs="Arial"/>
          <w:b/>
        </w:rPr>
      </w:pPr>
      <w:r w:rsidRPr="00A02FC8">
        <w:rPr>
          <w:rFonts w:ascii="Arial" w:eastAsia="Arial Unicode MS" w:hAnsi="Arial" w:cs="Arial"/>
          <w:b/>
          <w:color w:val="000000" w:themeColor="text1"/>
        </w:rPr>
        <w:t xml:space="preserve">DICTAMEN QUE EMITE LA DIRECCIÓN DE GOBIERNO ABIERTO DEL ÓRGANO GARANTE DE ACCESO A LA INFORMACIÓN PÚBLICA, TRANSPARENCIA, PROTECCIÓN DE DATOS PERSONALES Y BUEN GOBIERNO DEL ESTADO DE OAXACA, PARA DETERMINAR EL CATÁLOGO DE INFORMACIÓN </w:t>
      </w:r>
      <w:r w:rsidRPr="00A02FC8">
        <w:rPr>
          <w:rFonts w:ascii="Arial" w:eastAsia="Arial Unicode MS" w:hAnsi="Arial" w:cs="Arial"/>
          <w:b/>
        </w:rPr>
        <w:t>DE INTERÉS PÚBLICO QUE DEBERÁN PUBLICAR LOS SUJETOS OBLIGADOS DEL ESTADO DE OAXACA, CORRESPONDIENTE AL EJERCICIO 202</w:t>
      </w:r>
      <w:r>
        <w:rPr>
          <w:rFonts w:ascii="Arial" w:eastAsia="Arial Unicode MS" w:hAnsi="Arial" w:cs="Arial"/>
          <w:b/>
        </w:rPr>
        <w:t>4</w:t>
      </w:r>
      <w:r w:rsidRPr="00A02FC8">
        <w:rPr>
          <w:rFonts w:ascii="Arial" w:eastAsia="Arial Unicode MS" w:hAnsi="Arial" w:cs="Arial"/>
          <w:b/>
        </w:rPr>
        <w:t>.</w:t>
      </w:r>
    </w:p>
    <w:p w14:paraId="7AFBA1AB" w14:textId="77777777" w:rsidR="00C92C1E" w:rsidRDefault="00C92C1E" w:rsidP="00C92C1E">
      <w:pPr>
        <w:spacing w:line="276" w:lineRule="auto"/>
        <w:contextualSpacing/>
        <w:jc w:val="both"/>
        <w:rPr>
          <w:rFonts w:ascii="Arial" w:eastAsia="Arial Unicode MS" w:hAnsi="Arial" w:cs="Arial"/>
          <w:b/>
        </w:rPr>
      </w:pPr>
    </w:p>
    <w:p w14:paraId="46D6A536" w14:textId="1D525563" w:rsidR="00FD221E" w:rsidRDefault="00FD221E" w:rsidP="00C92C1E">
      <w:pPr>
        <w:spacing w:line="276" w:lineRule="auto"/>
        <w:contextualSpacing/>
        <w:jc w:val="both"/>
        <w:rPr>
          <w:rFonts w:ascii="Arial" w:eastAsia="Arial Unicode MS" w:hAnsi="Arial" w:cs="Arial"/>
        </w:rPr>
      </w:pPr>
      <w:r w:rsidRPr="00A02FC8">
        <w:rPr>
          <w:rFonts w:ascii="Arial" w:eastAsia="Arial Unicode MS" w:hAnsi="Arial" w:cs="Arial"/>
        </w:rPr>
        <w:t>Con fundamento en lo dispuesto en los artículos 6°, apartado A, fracción VIII de la Constitución Política de los Estados Unidos Mexicanos; 114 inciso C de la Constitución Política del Estado Libre y Soberano de Oaxaca, 37, 42 fracción XXII y 80 fracciones II y III de la Ley General de Transparencia y Acceso a la Información Pública; artículo 93 fracción II inciso e) de Ley de Transparencia, Acceso a la Información Pública y Buen Gobierno del Estado de Oaxaca;</w:t>
      </w:r>
      <w:r w:rsidRPr="00A02FC8">
        <w:rPr>
          <w:rFonts w:ascii="Arial" w:eastAsia="Arial Unicode MS" w:hAnsi="Arial" w:cs="Arial"/>
          <w:color w:val="000000" w:themeColor="text1"/>
          <w:lang w:val="es-ES_tradnl"/>
        </w:rPr>
        <w:t xml:space="preserve"> artículos 11, 12, 13, 14 y 15 </w:t>
      </w:r>
      <w:r w:rsidRPr="00A02FC8">
        <w:rPr>
          <w:rFonts w:ascii="Arial" w:eastAsia="Arial Unicode MS" w:hAnsi="Arial" w:cs="Arial"/>
          <w:color w:val="000000" w:themeColor="text1"/>
        </w:rPr>
        <w:t xml:space="preserve">de los </w:t>
      </w:r>
      <w:r w:rsidRPr="00A02FC8">
        <w:rPr>
          <w:rFonts w:ascii="Arial" w:eastAsia="Arial Unicode MS" w:hAnsi="Arial" w:cs="Arial"/>
          <w:i/>
          <w:iCs/>
          <w:color w:val="000000" w:themeColor="text1"/>
        </w:rPr>
        <w:t>Lineamientos para determinar los catálogos y publicación de información de interés público</w:t>
      </w:r>
      <w:r w:rsidRPr="00A02FC8">
        <w:rPr>
          <w:rFonts w:ascii="Arial" w:eastAsia="Arial Unicode MS" w:hAnsi="Arial" w:cs="Arial"/>
          <w:color w:val="000000" w:themeColor="text1"/>
        </w:rPr>
        <w:t>, y</w:t>
      </w:r>
      <w:r w:rsidRPr="00A02FC8">
        <w:rPr>
          <w:rFonts w:ascii="Arial" w:eastAsia="Arial Unicode MS" w:hAnsi="Arial" w:cs="Arial"/>
          <w:color w:val="000000" w:themeColor="text1"/>
          <w:lang w:val="es-ES_tradnl"/>
        </w:rPr>
        <w:t xml:space="preserve"> artículo 16 fracción XIV del Reglamento Interno del OGAIPO en vigor,</w:t>
      </w:r>
      <w:r w:rsidRPr="00A02FC8">
        <w:rPr>
          <w:rFonts w:ascii="Arial" w:eastAsia="Arial Unicode MS" w:hAnsi="Arial" w:cs="Arial"/>
        </w:rPr>
        <w:t xml:space="preserve"> se emite el presente DICTAMEN con base en los siguientes:</w:t>
      </w:r>
    </w:p>
    <w:p w14:paraId="7AA28ACE" w14:textId="77777777" w:rsidR="00C92C1E" w:rsidRPr="00C92C1E" w:rsidRDefault="00C92C1E" w:rsidP="00C92C1E">
      <w:pPr>
        <w:spacing w:line="276" w:lineRule="auto"/>
        <w:contextualSpacing/>
        <w:jc w:val="both"/>
        <w:rPr>
          <w:rFonts w:ascii="Arial" w:eastAsia="Arial Unicode MS" w:hAnsi="Arial" w:cs="Arial"/>
          <w:b/>
        </w:rPr>
      </w:pPr>
    </w:p>
    <w:p w14:paraId="3F28F08E" w14:textId="77777777" w:rsidR="00FD221E" w:rsidRPr="00A02FC8" w:rsidRDefault="00FD221E" w:rsidP="00C92C1E">
      <w:pPr>
        <w:spacing w:after="240" w:line="360" w:lineRule="auto"/>
        <w:jc w:val="center"/>
        <w:rPr>
          <w:rFonts w:ascii="Arial" w:eastAsia="Arial Unicode MS" w:hAnsi="Arial" w:cs="Arial"/>
          <w:color w:val="000000" w:themeColor="text1"/>
          <w:lang w:val="es-ES_tradnl"/>
        </w:rPr>
      </w:pPr>
      <w:r w:rsidRPr="00A02FC8">
        <w:rPr>
          <w:rFonts w:ascii="Arial" w:eastAsia="Arial Unicode MS" w:hAnsi="Arial" w:cs="Arial"/>
          <w:b/>
        </w:rPr>
        <w:t>ANTECEDENTES</w:t>
      </w:r>
    </w:p>
    <w:p w14:paraId="14DC1C46" w14:textId="77777777" w:rsidR="00C92C1E" w:rsidRDefault="00FD221E" w:rsidP="00C92C1E">
      <w:pPr>
        <w:spacing w:after="240" w:line="360" w:lineRule="auto"/>
        <w:jc w:val="both"/>
        <w:rPr>
          <w:rFonts w:ascii="Arial" w:eastAsia="Arial Unicode MS" w:hAnsi="Arial" w:cs="Arial"/>
          <w:bCs/>
        </w:rPr>
      </w:pPr>
      <w:r w:rsidRPr="00A02FC8">
        <w:rPr>
          <w:rFonts w:ascii="Arial" w:eastAsia="Arial Unicode MS" w:hAnsi="Arial" w:cs="Arial"/>
          <w:b/>
          <w:bCs/>
        </w:rPr>
        <w:t xml:space="preserve">PRIMERO. </w:t>
      </w:r>
      <w:r w:rsidRPr="00A02FC8">
        <w:rPr>
          <w:rFonts w:ascii="Arial" w:eastAsia="Arial Unicode MS" w:hAnsi="Arial" w:cs="Arial"/>
          <w:bCs/>
        </w:rPr>
        <w:t>El siete de febrero de dos mil catorce, el Ejecutivo federal promulgó en el Diario Oficial de la Federación (DOF), el Decreto por el que se reforman y adicionan diversas disposiciones de la Constitución Política de los Estados Unidos Mexicanos, en el que se modificó entre otros, el artículo 6º, el cual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p>
    <w:p w14:paraId="202DD18D" w14:textId="35262EBF" w:rsidR="00FD221E" w:rsidRPr="00A02FC8" w:rsidRDefault="00C92C1E" w:rsidP="00FD221E">
      <w:pPr>
        <w:spacing w:line="360" w:lineRule="auto"/>
        <w:jc w:val="both"/>
        <w:rPr>
          <w:rFonts w:ascii="Arial" w:eastAsia="Arial Unicode MS" w:hAnsi="Arial" w:cs="Arial"/>
          <w:b/>
        </w:rPr>
      </w:pPr>
      <w:r w:rsidRPr="00C92C1E">
        <w:rPr>
          <w:rFonts w:ascii="Arial" w:eastAsia="Arial Unicode MS" w:hAnsi="Arial" w:cs="Arial"/>
          <w:b/>
        </w:rPr>
        <w:t>S</w:t>
      </w:r>
      <w:r w:rsidR="00FD221E" w:rsidRPr="00A02FC8">
        <w:rPr>
          <w:rFonts w:ascii="Arial" w:eastAsia="Arial Unicode MS" w:hAnsi="Arial" w:cs="Arial"/>
          <w:b/>
          <w:bCs/>
        </w:rPr>
        <w:t xml:space="preserve">EGUNDO. </w:t>
      </w:r>
      <w:r w:rsidR="00FD221E" w:rsidRPr="00A02FC8">
        <w:rPr>
          <w:rFonts w:ascii="Arial" w:eastAsia="Arial Unicode MS" w:hAnsi="Arial" w:cs="Arial"/>
          <w:bCs/>
        </w:rPr>
        <w:t>El cuatro de mayo de dos mil quince se publicó en el DOF la Ley General de Transparencia y Acceso a la Información Pública (Ley General), que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r w:rsidR="00FD221E" w:rsidRPr="00A02FC8">
        <w:rPr>
          <w:rFonts w:ascii="Arial" w:eastAsia="Arial Unicode MS" w:hAnsi="Arial" w:cs="Arial"/>
          <w:b/>
        </w:rPr>
        <w:t xml:space="preserve"> </w:t>
      </w:r>
    </w:p>
    <w:p w14:paraId="3952DDD5" w14:textId="77777777" w:rsidR="00C92C1E" w:rsidRDefault="00FD221E" w:rsidP="00C92C1E">
      <w:pPr>
        <w:spacing w:after="240" w:line="360" w:lineRule="auto"/>
        <w:jc w:val="both"/>
        <w:rPr>
          <w:rFonts w:ascii="Arial" w:eastAsia="Arial Unicode MS" w:hAnsi="Arial" w:cs="Arial"/>
          <w:bCs/>
        </w:rPr>
      </w:pPr>
      <w:r w:rsidRPr="00A02FC8">
        <w:rPr>
          <w:rFonts w:ascii="Arial" w:eastAsia="Arial Unicode MS" w:hAnsi="Arial" w:cs="Arial"/>
          <w:b/>
          <w:bCs/>
        </w:rPr>
        <w:lastRenderedPageBreak/>
        <w:t xml:space="preserve">TERCERO. </w:t>
      </w:r>
      <w:r w:rsidRPr="00A02FC8">
        <w:rPr>
          <w:rFonts w:ascii="Arial" w:eastAsia="Arial Unicode MS" w:hAnsi="Arial" w:cs="Arial"/>
          <w:bCs/>
        </w:rPr>
        <w:t>El quince de abril de dos mil dieciséis se publicaron en el DOF</w:t>
      </w:r>
      <w:r w:rsidRPr="00A02FC8">
        <w:rPr>
          <w:rFonts w:ascii="Arial" w:eastAsia="Arial Unicode MS" w:hAnsi="Arial" w:cs="Arial"/>
          <w:bCs/>
          <w:i/>
          <w:iCs/>
        </w:rPr>
        <w:t xml:space="preserve">, </w:t>
      </w:r>
      <w:r w:rsidRPr="00A02FC8">
        <w:rPr>
          <w:rFonts w:ascii="Arial" w:eastAsia="Arial Unicode MS" w:hAnsi="Arial" w:cs="Arial"/>
          <w:bCs/>
        </w:rPr>
        <w:t xml:space="preserve">los Lineamientos para determinar los catálogos y publicación de información de interés público y para la emisión y evaluación de políticas de transparencia proactiva (Lineamientos de interés público), y modificados mediante acuerdo CONAIP/SNT/ACUERDO/EXT18/03/2016-04, publicado en el DOF el veintiuno de febrero de dos mil dieciocho, con el objeto de establecer las directrices que deberán observarse para identificar la información adicional que se publicará de manera obligatoria por considerarse de interés público; el procedimiento de remisión al organismo garante para su revisión y el mecanismo de verificación de su cumplimiento, en términos de los artículo 80 y 82 de la Ley General. </w:t>
      </w:r>
    </w:p>
    <w:p w14:paraId="0C2FBD1F" w14:textId="50D8C742" w:rsidR="00FD221E" w:rsidRPr="00C92C1E" w:rsidRDefault="00FD221E" w:rsidP="00C92C1E">
      <w:pPr>
        <w:spacing w:after="240" w:line="360" w:lineRule="auto"/>
        <w:jc w:val="both"/>
        <w:rPr>
          <w:rFonts w:ascii="Arial" w:eastAsia="Arial Unicode MS" w:hAnsi="Arial" w:cs="Arial"/>
          <w:bCs/>
        </w:rPr>
      </w:pPr>
      <w:r w:rsidRPr="00A02FC8">
        <w:rPr>
          <w:rFonts w:ascii="Arial" w:eastAsia="Arial Unicode MS" w:hAnsi="Arial" w:cs="Arial"/>
          <w:b/>
          <w:bCs/>
        </w:rPr>
        <w:t xml:space="preserve">CUARTO. </w:t>
      </w:r>
      <w:r w:rsidRPr="00A02FC8">
        <w:rPr>
          <w:rFonts w:ascii="Arial" w:eastAsia="Arial Unicode MS" w:hAnsi="Arial" w:cs="Arial"/>
          <w:bCs/>
        </w:rPr>
        <w:t>El cuatro de mayo de dos mil dieciséis, se publicó en el DOF, el acuerdo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modificados mediante acuerdo CONAIP/SNT/ACUERDO/ORD01-15/12/2017-08, publicado en el DOF el veintiocho de diciembre de dos mil diecisiete, que tienen como propósito definir los formatos que se usarán para publicar la información prescrita en el Título Quinto de la Ley General y asegurar que sea veraz, confiable, oportuna, congruente, integral, actualizada, accesible, comprensible y verificable.</w:t>
      </w:r>
    </w:p>
    <w:p w14:paraId="2E614C0D" w14:textId="77777777" w:rsidR="00C92C1E" w:rsidRDefault="00FD221E" w:rsidP="00C92C1E">
      <w:pPr>
        <w:spacing w:after="240" w:line="360" w:lineRule="auto"/>
        <w:jc w:val="both"/>
        <w:rPr>
          <w:rFonts w:ascii="Arial" w:eastAsia="Arial Unicode MS" w:hAnsi="Arial" w:cs="Arial"/>
          <w:color w:val="000000" w:themeColor="text1"/>
        </w:rPr>
      </w:pPr>
      <w:r w:rsidRPr="00A02FC8">
        <w:rPr>
          <w:rFonts w:ascii="Arial" w:eastAsia="Arial Unicode MS" w:hAnsi="Arial" w:cs="Arial"/>
          <w:b/>
          <w:bCs/>
        </w:rPr>
        <w:t xml:space="preserve">QUINTO. </w:t>
      </w:r>
      <w:r w:rsidRPr="00A02FC8">
        <w:rPr>
          <w:rFonts w:ascii="Arial" w:eastAsia="Arial Unicode MS" w:hAnsi="Arial" w:cs="Arial"/>
          <w:color w:val="000000" w:themeColor="text1"/>
        </w:rPr>
        <w:t>El veintitrés de enero de dos mi dieciocho, el Consejo Nacional del Sistema Nacional de Transparencia</w:t>
      </w:r>
      <w:r>
        <w:rPr>
          <w:rFonts w:ascii="Arial" w:eastAsia="Arial Unicode MS" w:hAnsi="Arial" w:cs="Arial"/>
          <w:color w:val="000000" w:themeColor="text1"/>
        </w:rPr>
        <w:t xml:space="preserve"> (SNT)</w:t>
      </w:r>
      <w:r w:rsidRPr="00A02FC8">
        <w:rPr>
          <w:rFonts w:ascii="Arial" w:eastAsia="Arial Unicode MS" w:hAnsi="Arial" w:cs="Arial"/>
          <w:color w:val="000000" w:themeColor="text1"/>
        </w:rPr>
        <w:t xml:space="preserve"> emitió el acuerdo CONAIP/SNT/ACUERDO/EXT01-23/01/2018-06, mediante el cual se aprobó la modificación a los numerales octavo, décimo primero, décimo quinto y décimo sexto de los Lineamientos de interés público, reforma que fue publicada en el DOF el veintiuno de febrero de dos mil dieciocho.</w:t>
      </w:r>
    </w:p>
    <w:p w14:paraId="05E231F0" w14:textId="15D1FDB7" w:rsidR="00FD221E" w:rsidRPr="00A02FC8" w:rsidRDefault="00FD221E" w:rsidP="00C92C1E">
      <w:pPr>
        <w:spacing w:after="240" w:line="360" w:lineRule="auto"/>
        <w:jc w:val="both"/>
        <w:rPr>
          <w:rFonts w:ascii="Arial" w:eastAsia="Arial Unicode MS" w:hAnsi="Arial" w:cs="Arial"/>
          <w:bCs/>
        </w:rPr>
      </w:pPr>
      <w:r w:rsidRPr="002E3835">
        <w:rPr>
          <w:rFonts w:ascii="Arial" w:eastAsia="Arial Unicode MS" w:hAnsi="Arial" w:cs="Arial"/>
          <w:b/>
        </w:rPr>
        <w:t>SEXTO.</w:t>
      </w:r>
      <w:r w:rsidRPr="002E3835">
        <w:rPr>
          <w:rFonts w:ascii="Arial" w:eastAsia="Arial Unicode MS" w:hAnsi="Arial" w:cs="Arial"/>
          <w:bCs/>
        </w:rPr>
        <w:t xml:space="preserve"> </w:t>
      </w:r>
      <w:r w:rsidRPr="002E3835">
        <w:rPr>
          <w:rFonts w:ascii="Arial" w:eastAsia="Arial Unicode MS" w:hAnsi="Arial" w:cs="Arial"/>
        </w:rPr>
        <w:t>Con fecha cinco de noviembre del año dos mil veinte, el Consejo Nacional del SNT emitió el acuerdo CONAIP/SNT/ACUERDO/EXT01-05/11/2020-03</w:t>
      </w:r>
      <w:r w:rsidR="00A23492" w:rsidRPr="002E3835">
        <w:rPr>
          <w:rFonts w:ascii="Arial" w:eastAsia="Arial Unicode MS" w:hAnsi="Arial" w:cs="Arial"/>
        </w:rPr>
        <w:t>; así también</w:t>
      </w:r>
      <w:r w:rsidR="00CB381F" w:rsidRPr="002E3835">
        <w:rPr>
          <w:rFonts w:ascii="Arial" w:eastAsia="Arial Unicode MS" w:hAnsi="Arial" w:cs="Arial"/>
        </w:rPr>
        <w:t>,</w:t>
      </w:r>
      <w:r w:rsidR="00A23492" w:rsidRPr="002E3835">
        <w:rPr>
          <w:rFonts w:ascii="Arial" w:eastAsia="Arial Unicode MS" w:hAnsi="Arial" w:cs="Arial"/>
        </w:rPr>
        <w:t xml:space="preserve"> reforma de fecha 26 de abril de 2023 y reforma de fecha 28 de febrero de 2024,</w:t>
      </w:r>
      <w:r w:rsidR="00A23492">
        <w:rPr>
          <w:rFonts w:ascii="Arial" w:eastAsia="Arial Unicode MS" w:hAnsi="Arial" w:cs="Arial"/>
        </w:rPr>
        <w:t xml:space="preserve"> </w:t>
      </w:r>
      <w:r w:rsidRPr="00A02FC8">
        <w:rPr>
          <w:rFonts w:ascii="Arial" w:eastAsia="Arial Unicode MS" w:hAnsi="Arial" w:cs="Arial"/>
        </w:rPr>
        <w:t xml:space="preserve">mediante </w:t>
      </w:r>
      <w:r w:rsidR="00A23492">
        <w:rPr>
          <w:rFonts w:ascii="Arial" w:eastAsia="Arial Unicode MS" w:hAnsi="Arial" w:cs="Arial"/>
        </w:rPr>
        <w:t>los</w:t>
      </w:r>
      <w:r w:rsidRPr="00A02FC8">
        <w:rPr>
          <w:rFonts w:ascii="Arial" w:eastAsia="Arial Unicode MS" w:hAnsi="Arial" w:cs="Arial"/>
        </w:rPr>
        <w:t xml:space="preserve"> cual</w:t>
      </w:r>
      <w:r w:rsidR="00A23492">
        <w:rPr>
          <w:rFonts w:ascii="Arial" w:eastAsia="Arial Unicode MS" w:hAnsi="Arial" w:cs="Arial"/>
        </w:rPr>
        <w:t>es</w:t>
      </w:r>
      <w:r w:rsidRPr="00A02FC8">
        <w:rPr>
          <w:rFonts w:ascii="Arial" w:eastAsia="Arial Unicode MS" w:hAnsi="Arial" w:cs="Arial"/>
        </w:rPr>
        <w:t xml:space="preserve"> se modifican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w:t>
      </w:r>
      <w:r w:rsidRPr="00A02FC8">
        <w:rPr>
          <w:rFonts w:ascii="Arial" w:eastAsia="Arial Unicode MS" w:hAnsi="Arial" w:cs="Arial"/>
        </w:rPr>
        <w:lastRenderedPageBreak/>
        <w:t xml:space="preserve">difundir los sujetos obligados en los portales de Internet y en la Plataforma Nacional de Transparencia; así como los criterios y formatos contenidos en los </w:t>
      </w:r>
      <w:r>
        <w:rPr>
          <w:rFonts w:ascii="Arial" w:eastAsia="Arial Unicode MS" w:hAnsi="Arial" w:cs="Arial"/>
        </w:rPr>
        <w:t>anexo</w:t>
      </w:r>
      <w:r w:rsidRPr="00A02FC8">
        <w:rPr>
          <w:rFonts w:ascii="Arial" w:eastAsia="Arial Unicode MS" w:hAnsi="Arial" w:cs="Arial"/>
        </w:rPr>
        <w:t>s de los propios lineamientos, derivado de la verificación diagnóstica realizada por los organismos garantes de la Federación y de las entidades federativas; asimismo se modifican las Directrices del Pleno del Consejo Nacional del Sistema Nacional de Transparencia, Acceso a la Información Pública y Protección de Datos Personales en materia de Verificación Diagnóstica de las obligaciones de transparencia y atención a la Denuncia por incumplimiento a las obligaciones de transparencia; documento que se publicó en el DO</w:t>
      </w:r>
      <w:r w:rsidR="00A23492">
        <w:rPr>
          <w:rFonts w:ascii="Arial" w:eastAsia="Arial Unicode MS" w:hAnsi="Arial" w:cs="Arial"/>
        </w:rPr>
        <w:t>F</w:t>
      </w:r>
      <w:r w:rsidRPr="00A02FC8">
        <w:rPr>
          <w:rFonts w:ascii="Arial" w:eastAsia="Arial Unicode MS" w:hAnsi="Arial" w:cs="Arial"/>
        </w:rPr>
        <w:t>.</w:t>
      </w:r>
      <w:r w:rsidRPr="00A02FC8">
        <w:rPr>
          <w:rFonts w:ascii="Arial" w:eastAsia="Arial Unicode MS" w:hAnsi="Arial" w:cs="Arial"/>
          <w:bCs/>
        </w:rPr>
        <w:t xml:space="preserve"> </w:t>
      </w:r>
    </w:p>
    <w:p w14:paraId="5E576323" w14:textId="0DF661E3" w:rsidR="00FD221E" w:rsidRPr="00A02FC8" w:rsidRDefault="00FD221E" w:rsidP="00C76655">
      <w:pPr>
        <w:spacing w:after="240" w:line="360" w:lineRule="auto"/>
        <w:jc w:val="both"/>
        <w:rPr>
          <w:rFonts w:ascii="Arial" w:eastAsia="Arial Unicode MS" w:hAnsi="Arial" w:cs="Arial"/>
          <w:bCs/>
        </w:rPr>
      </w:pPr>
      <w:r w:rsidRPr="000E4493">
        <w:rPr>
          <w:rFonts w:ascii="Arial" w:eastAsia="Arial Unicode MS" w:hAnsi="Arial" w:cs="Arial"/>
          <w:b/>
        </w:rPr>
        <w:t>SÉPTIMO.</w:t>
      </w:r>
      <w:r w:rsidRPr="00A02FC8">
        <w:rPr>
          <w:rFonts w:ascii="Arial" w:eastAsia="Arial Unicode MS" w:hAnsi="Arial" w:cs="Arial"/>
          <w:bCs/>
        </w:rPr>
        <w:t xml:space="preserve"> Con fecha veintiséis de abril del año dos mil veintitrés, fueron publicados en el Diario Oficial de la Federación los </w:t>
      </w:r>
      <w:r w:rsidRPr="00A02FC8">
        <w:rPr>
          <w:rFonts w:ascii="Arial" w:eastAsia="Arial Unicode MS" w:hAnsi="Arial" w:cs="Arial"/>
          <w:i/>
          <w:iCs/>
          <w:color w:val="000000" w:themeColor="text1"/>
        </w:rPr>
        <w:t xml:space="preserve">Lineamientos para determinar los catálogos y publicación de información de interés público </w:t>
      </w:r>
      <w:r w:rsidRPr="00A02FC8">
        <w:rPr>
          <w:rFonts w:ascii="Arial" w:eastAsia="Arial Unicode MS" w:hAnsi="Arial" w:cs="Arial"/>
          <w:color w:val="000000" w:themeColor="text1"/>
        </w:rPr>
        <w:t xml:space="preserve">emitidos por el </w:t>
      </w:r>
      <w:r>
        <w:rPr>
          <w:rFonts w:ascii="Arial" w:eastAsia="Arial Unicode MS" w:hAnsi="Arial" w:cs="Arial"/>
          <w:color w:val="000000" w:themeColor="text1"/>
        </w:rPr>
        <w:t>SNT</w:t>
      </w:r>
      <w:r w:rsidRPr="00A02FC8">
        <w:rPr>
          <w:rFonts w:ascii="Arial" w:eastAsia="Arial Unicode MS" w:hAnsi="Arial" w:cs="Arial"/>
          <w:color w:val="000000" w:themeColor="text1"/>
        </w:rPr>
        <w:t xml:space="preserve">, </w:t>
      </w:r>
      <w:r w:rsidRPr="00A02FC8">
        <w:rPr>
          <w:rFonts w:ascii="Arial" w:eastAsia="Arial Unicode MS" w:hAnsi="Arial" w:cs="Arial"/>
          <w:bCs/>
        </w:rPr>
        <w:t>instrumento que establece en su transitorio SEGUNDO la abrogación de los “Lineamientos para determinar los catálogos y publicación de información de interés público; y para la emisión y evaluación de políticas de transparencia proactiva”.</w:t>
      </w:r>
    </w:p>
    <w:p w14:paraId="1EE2A292" w14:textId="5C967C9E" w:rsidR="00FD221E" w:rsidRPr="00A02FC8" w:rsidRDefault="00FD221E" w:rsidP="00C76655">
      <w:pPr>
        <w:spacing w:after="240" w:line="360" w:lineRule="auto"/>
        <w:jc w:val="center"/>
        <w:rPr>
          <w:rFonts w:ascii="Arial" w:eastAsia="Arial Unicode MS" w:hAnsi="Arial" w:cs="Arial"/>
          <w:b/>
        </w:rPr>
      </w:pPr>
      <w:r w:rsidRPr="00A02FC8">
        <w:rPr>
          <w:rFonts w:ascii="Arial" w:eastAsia="Arial Unicode MS" w:hAnsi="Arial" w:cs="Arial"/>
          <w:b/>
        </w:rPr>
        <w:t>C O N S I D E R A N D O</w:t>
      </w:r>
    </w:p>
    <w:p w14:paraId="69BD0F17" w14:textId="22D7AC0F" w:rsidR="00FD221E" w:rsidRPr="00C76655" w:rsidRDefault="00FD221E" w:rsidP="00C76655">
      <w:pPr>
        <w:tabs>
          <w:tab w:val="left" w:pos="851"/>
        </w:tabs>
        <w:spacing w:after="240" w:line="360" w:lineRule="auto"/>
        <w:jc w:val="both"/>
        <w:rPr>
          <w:rFonts w:ascii="Arial" w:eastAsia="Arial Unicode MS" w:hAnsi="Arial" w:cs="Arial"/>
          <w:bCs/>
          <w:lang w:eastAsia="es-ES"/>
        </w:rPr>
      </w:pPr>
      <w:r w:rsidRPr="00A02FC8">
        <w:rPr>
          <w:rFonts w:ascii="Arial" w:eastAsia="Arial Unicode MS" w:hAnsi="Arial" w:cs="Arial"/>
          <w:b/>
          <w:bCs/>
          <w:lang w:eastAsia="es-ES"/>
        </w:rPr>
        <w:t>PRIMERO.</w:t>
      </w:r>
      <w:r w:rsidRPr="00A02FC8">
        <w:rPr>
          <w:rFonts w:ascii="Arial" w:eastAsia="Arial Unicode MS" w:hAnsi="Arial" w:cs="Arial"/>
          <w:bCs/>
          <w:lang w:eastAsia="es-ES"/>
        </w:rPr>
        <w:t xml:space="preserve"> Que el artículo 70 fracción XLVIII de la </w:t>
      </w:r>
      <w:r w:rsidRPr="00A02FC8">
        <w:rPr>
          <w:rFonts w:ascii="Arial" w:eastAsia="Arial Unicode MS" w:hAnsi="Arial" w:cs="Arial"/>
        </w:rPr>
        <w:t>Ley General de Transparencia y Acceso a la Información Pública</w:t>
      </w:r>
      <w:r w:rsidRPr="00A02FC8">
        <w:rPr>
          <w:rFonts w:ascii="Arial" w:eastAsia="Arial Unicode MS" w:hAnsi="Arial" w:cs="Arial"/>
          <w:bCs/>
          <w:lang w:eastAsia="es-ES"/>
        </w:rPr>
        <w:t xml:space="preserve"> (Ley General) establece la obligación de los Sujetos obligados de poner a disposición y mantener actualizada cualquier otra información que sea de utilidad o se considere relevante, además de la que, con base en la información estadística, responda a las preguntas hechas con más frecuencia por el público.</w:t>
      </w:r>
    </w:p>
    <w:p w14:paraId="2791DE67" w14:textId="27158547" w:rsidR="00FD221E" w:rsidRPr="00C76655" w:rsidRDefault="00FB1914" w:rsidP="00C76655">
      <w:pPr>
        <w:tabs>
          <w:tab w:val="left" w:pos="851"/>
        </w:tabs>
        <w:spacing w:after="240" w:line="360" w:lineRule="auto"/>
        <w:jc w:val="both"/>
        <w:rPr>
          <w:rFonts w:ascii="Arial" w:eastAsia="Arial Unicode MS" w:hAnsi="Arial" w:cs="Arial"/>
          <w:bCs/>
          <w:lang w:eastAsia="es-ES"/>
        </w:rPr>
      </w:pPr>
      <w:r>
        <w:rPr>
          <w:rFonts w:ascii="Arial" w:eastAsia="Arial Unicode MS" w:hAnsi="Arial" w:cs="Arial"/>
          <w:b/>
          <w:lang w:eastAsia="es-ES"/>
        </w:rPr>
        <w:t>SEGUNDO</w:t>
      </w:r>
      <w:r w:rsidR="00FD221E" w:rsidRPr="00A02FC8">
        <w:rPr>
          <w:rFonts w:ascii="Arial" w:eastAsia="Arial Unicode MS" w:hAnsi="Arial" w:cs="Arial"/>
          <w:b/>
          <w:lang w:eastAsia="es-ES"/>
        </w:rPr>
        <w:t xml:space="preserve">. </w:t>
      </w:r>
      <w:r w:rsidR="00FD221E" w:rsidRPr="00A02FC8">
        <w:rPr>
          <w:rFonts w:ascii="Arial" w:eastAsia="Arial Unicode MS" w:hAnsi="Arial" w:cs="Arial"/>
          <w:bCs/>
          <w:lang w:eastAsia="es-ES"/>
        </w:rPr>
        <w:t xml:space="preserve">Que el artículo 80 de la Ley General prevé que para determinar la información adicional que publicarán los sujetos obligados de manera obligatoria, los Organismos Garantes deberán solicitarles que, atendiendo a los Lineamientos que emita el </w:t>
      </w:r>
      <w:r w:rsidR="00FD221E">
        <w:rPr>
          <w:rFonts w:ascii="Arial" w:eastAsia="Arial Unicode MS" w:hAnsi="Arial" w:cs="Arial"/>
          <w:bCs/>
          <w:lang w:eastAsia="es-ES"/>
        </w:rPr>
        <w:t>SNT</w:t>
      </w:r>
      <w:r w:rsidR="00FD221E" w:rsidRPr="00A02FC8">
        <w:rPr>
          <w:rFonts w:ascii="Arial" w:eastAsia="Arial Unicode MS" w:hAnsi="Arial" w:cs="Arial"/>
          <w:bCs/>
          <w:lang w:eastAsia="es-ES"/>
        </w:rPr>
        <w:t>, remitan el catálogo de información que consideren de interés público.</w:t>
      </w:r>
    </w:p>
    <w:p w14:paraId="0BB7879E" w14:textId="6CE05FCB" w:rsidR="00C76655" w:rsidRDefault="00FB1914" w:rsidP="00C76655">
      <w:pPr>
        <w:tabs>
          <w:tab w:val="left" w:pos="851"/>
        </w:tabs>
        <w:spacing w:after="240" w:line="360" w:lineRule="auto"/>
        <w:jc w:val="both"/>
        <w:rPr>
          <w:rFonts w:ascii="Arial" w:eastAsia="Arial Unicode MS" w:hAnsi="Arial" w:cs="Arial"/>
          <w:bCs/>
          <w:lang w:eastAsia="es-ES"/>
        </w:rPr>
      </w:pPr>
      <w:r>
        <w:rPr>
          <w:rFonts w:ascii="Arial" w:eastAsia="Arial Unicode MS" w:hAnsi="Arial" w:cs="Arial"/>
          <w:b/>
          <w:lang w:eastAsia="es-ES"/>
        </w:rPr>
        <w:t>TERCERO</w:t>
      </w:r>
      <w:r w:rsidR="00FD221E" w:rsidRPr="00A02FC8">
        <w:rPr>
          <w:rFonts w:ascii="Arial" w:eastAsia="Arial Unicode MS" w:hAnsi="Arial" w:cs="Arial"/>
          <w:b/>
          <w:lang w:eastAsia="es-ES"/>
        </w:rPr>
        <w:t xml:space="preserve">. </w:t>
      </w:r>
      <w:r w:rsidR="00FD221E" w:rsidRPr="00A02FC8">
        <w:rPr>
          <w:rFonts w:ascii="Arial" w:eastAsia="Arial Unicode MS" w:hAnsi="Arial" w:cs="Arial"/>
          <w:bCs/>
          <w:lang w:eastAsia="es-ES"/>
        </w:rPr>
        <w:t xml:space="preserve">Que los artículos 11, 12, 13 y 14 de los </w:t>
      </w:r>
      <w:r w:rsidR="00FD221E" w:rsidRPr="00A02FC8">
        <w:rPr>
          <w:rFonts w:ascii="Arial" w:eastAsia="Arial Unicode MS" w:hAnsi="Arial" w:cs="Arial"/>
          <w:i/>
          <w:iCs/>
          <w:color w:val="000000" w:themeColor="text1"/>
        </w:rPr>
        <w:t>Lineamientos para determinar los catálogos y publicación de información de interés público</w:t>
      </w:r>
      <w:r w:rsidR="00FD221E" w:rsidRPr="00A02FC8">
        <w:rPr>
          <w:rFonts w:ascii="Arial" w:eastAsia="Arial Unicode MS" w:hAnsi="Arial" w:cs="Arial"/>
          <w:bCs/>
          <w:lang w:eastAsia="es-ES"/>
        </w:rPr>
        <w:t xml:space="preserve"> establecen el procedimiento por el cual el Organismo Garante deberá solicitar y dictaminar la información de interés púbico de los Sujetos Obligados.</w:t>
      </w:r>
    </w:p>
    <w:p w14:paraId="26DF8116" w14:textId="77777777" w:rsidR="00C76655" w:rsidRDefault="00C76655">
      <w:pPr>
        <w:rPr>
          <w:rFonts w:ascii="Arial" w:eastAsia="Arial Unicode MS" w:hAnsi="Arial" w:cs="Arial"/>
          <w:bCs/>
          <w:lang w:eastAsia="es-ES"/>
        </w:rPr>
      </w:pPr>
      <w:r>
        <w:rPr>
          <w:rFonts w:ascii="Arial" w:eastAsia="Arial Unicode MS" w:hAnsi="Arial" w:cs="Arial"/>
          <w:bCs/>
          <w:lang w:eastAsia="es-ES"/>
        </w:rPr>
        <w:br w:type="page"/>
      </w:r>
    </w:p>
    <w:p w14:paraId="4926F983" w14:textId="7826C6C4" w:rsidR="00FD221E" w:rsidRPr="00A02FC8" w:rsidRDefault="00FB1914" w:rsidP="00C76655">
      <w:pPr>
        <w:tabs>
          <w:tab w:val="left" w:pos="851"/>
        </w:tabs>
        <w:spacing w:after="240" w:line="360" w:lineRule="auto"/>
        <w:jc w:val="both"/>
        <w:rPr>
          <w:rFonts w:ascii="Arial" w:eastAsia="Arial Unicode MS" w:hAnsi="Arial" w:cs="Arial"/>
          <w:bCs/>
          <w:lang w:eastAsia="es-ES"/>
        </w:rPr>
      </w:pPr>
      <w:r>
        <w:rPr>
          <w:rFonts w:ascii="Arial" w:eastAsia="Arial Unicode MS" w:hAnsi="Arial" w:cs="Arial"/>
          <w:b/>
          <w:lang w:eastAsia="es-ES"/>
        </w:rPr>
        <w:lastRenderedPageBreak/>
        <w:t>CUARTO</w:t>
      </w:r>
      <w:r w:rsidR="00FD221E" w:rsidRPr="00A02FC8">
        <w:rPr>
          <w:rFonts w:ascii="Arial" w:eastAsia="Arial Unicode MS" w:hAnsi="Arial" w:cs="Arial"/>
          <w:b/>
          <w:lang w:eastAsia="es-ES"/>
        </w:rPr>
        <w:t xml:space="preserve">. </w:t>
      </w:r>
      <w:r w:rsidR="00FD221E" w:rsidRPr="00A02FC8">
        <w:rPr>
          <w:rFonts w:ascii="Arial" w:eastAsia="Arial Unicode MS" w:hAnsi="Arial" w:cs="Arial"/>
          <w:bCs/>
          <w:lang w:eastAsia="es-ES"/>
        </w:rPr>
        <w:t xml:space="preserve">El artículo 16 fracción XXIV del Reglamento Interno del OGAIP Oaxaca, establece que es facultad de la Dirección de Gobierno Abierto </w:t>
      </w:r>
      <w:r w:rsidR="00FD221E" w:rsidRPr="00A02FC8">
        <w:rPr>
          <w:rFonts w:ascii="Arial" w:eastAsia="Arial Unicode MS" w:hAnsi="Arial" w:cs="Arial"/>
        </w:rPr>
        <w:t>la revisión y dictaminación sobre el listado de información de interés público de los Sujetos obligados, para la aprobación del Consejo General</w:t>
      </w:r>
      <w:r w:rsidR="00FD221E" w:rsidRPr="00A02FC8">
        <w:rPr>
          <w:rFonts w:ascii="Arial" w:eastAsia="Arial Unicode MS" w:hAnsi="Arial" w:cs="Arial"/>
          <w:bCs/>
          <w:lang w:eastAsia="es-ES"/>
        </w:rPr>
        <w:t xml:space="preserve"> de este Órgano </w:t>
      </w:r>
      <w:r w:rsidR="001F03E1">
        <w:rPr>
          <w:rFonts w:ascii="Arial" w:eastAsia="Arial Unicode MS" w:hAnsi="Arial" w:cs="Arial"/>
          <w:bCs/>
          <w:lang w:eastAsia="es-ES"/>
        </w:rPr>
        <w:t>G</w:t>
      </w:r>
      <w:r w:rsidR="00FD221E" w:rsidRPr="00A02FC8">
        <w:rPr>
          <w:rFonts w:ascii="Arial" w:eastAsia="Arial Unicode MS" w:hAnsi="Arial" w:cs="Arial"/>
          <w:bCs/>
          <w:lang w:eastAsia="es-ES"/>
        </w:rPr>
        <w:t>arante.</w:t>
      </w:r>
    </w:p>
    <w:p w14:paraId="4405045C" w14:textId="579913DE" w:rsidR="00FD221E" w:rsidRPr="00A02FC8" w:rsidRDefault="00FB1914" w:rsidP="00C76655">
      <w:pPr>
        <w:tabs>
          <w:tab w:val="left" w:pos="851"/>
        </w:tabs>
        <w:spacing w:after="240" w:line="360" w:lineRule="auto"/>
        <w:jc w:val="both"/>
        <w:rPr>
          <w:rFonts w:ascii="Arial" w:eastAsia="Arial Unicode MS" w:hAnsi="Arial" w:cs="Arial"/>
          <w:bCs/>
          <w:lang w:eastAsia="es-ES"/>
        </w:rPr>
      </w:pPr>
      <w:r>
        <w:rPr>
          <w:rFonts w:ascii="Arial" w:eastAsia="Arial Unicode MS" w:hAnsi="Arial" w:cs="Arial"/>
          <w:b/>
          <w:lang w:eastAsia="es-ES"/>
        </w:rPr>
        <w:t>QUINTO</w:t>
      </w:r>
      <w:r w:rsidR="00FD221E" w:rsidRPr="00A02FC8">
        <w:rPr>
          <w:rFonts w:ascii="Arial" w:eastAsia="Arial Unicode MS" w:hAnsi="Arial" w:cs="Arial"/>
          <w:b/>
          <w:lang w:eastAsia="es-ES"/>
        </w:rPr>
        <w:t xml:space="preserve">. </w:t>
      </w:r>
      <w:r w:rsidR="00FD221E" w:rsidRPr="00A02FC8">
        <w:rPr>
          <w:rFonts w:ascii="Arial" w:eastAsia="Arial Unicode MS" w:hAnsi="Arial" w:cs="Arial"/>
          <w:bCs/>
          <w:lang w:eastAsia="es-ES"/>
        </w:rPr>
        <w:t>Que mediante oficios OGAIPO/PRESIDENCIA/</w:t>
      </w:r>
      <w:r w:rsidR="00FD221E">
        <w:rPr>
          <w:rFonts w:ascii="Arial" w:eastAsia="Arial Unicode MS" w:hAnsi="Arial" w:cs="Arial"/>
          <w:bCs/>
          <w:lang w:eastAsia="es-ES"/>
        </w:rPr>
        <w:t>543</w:t>
      </w:r>
      <w:r w:rsidR="00FD221E" w:rsidRPr="00A02FC8">
        <w:rPr>
          <w:rFonts w:ascii="Arial" w:eastAsia="Arial Unicode MS" w:hAnsi="Arial" w:cs="Arial"/>
          <w:bCs/>
          <w:lang w:eastAsia="es-ES"/>
        </w:rPr>
        <w:t>/202</w:t>
      </w:r>
      <w:r w:rsidR="00FD221E">
        <w:rPr>
          <w:rFonts w:ascii="Arial" w:eastAsia="Arial Unicode MS" w:hAnsi="Arial" w:cs="Arial"/>
          <w:bCs/>
          <w:lang w:eastAsia="es-ES"/>
        </w:rPr>
        <w:t>4</w:t>
      </w:r>
      <w:r w:rsidR="00FD221E" w:rsidRPr="00A02FC8">
        <w:rPr>
          <w:rFonts w:ascii="Arial" w:eastAsia="Arial Unicode MS" w:hAnsi="Arial" w:cs="Arial"/>
          <w:bCs/>
          <w:lang w:eastAsia="es-ES"/>
        </w:rPr>
        <w:t>,</w:t>
      </w:r>
      <w:r w:rsidR="00FD221E">
        <w:rPr>
          <w:rFonts w:ascii="Arial" w:eastAsia="Arial Unicode MS" w:hAnsi="Arial" w:cs="Arial"/>
          <w:bCs/>
          <w:lang w:eastAsia="es-ES"/>
        </w:rPr>
        <w:t xml:space="preserve"> </w:t>
      </w:r>
      <w:r w:rsidR="00FD221E" w:rsidRPr="00A02FC8">
        <w:rPr>
          <w:rFonts w:ascii="Arial" w:eastAsia="Arial Unicode MS" w:hAnsi="Arial" w:cs="Arial"/>
          <w:bCs/>
          <w:lang w:eastAsia="es-ES"/>
        </w:rPr>
        <w:t>y OGAIPO/PRESIDENCIA/0</w:t>
      </w:r>
      <w:r w:rsidR="00FD221E">
        <w:rPr>
          <w:rFonts w:ascii="Arial" w:eastAsia="Arial Unicode MS" w:hAnsi="Arial" w:cs="Arial"/>
          <w:bCs/>
          <w:lang w:eastAsia="es-ES"/>
        </w:rPr>
        <w:t>11</w:t>
      </w:r>
      <w:r w:rsidR="00FD221E" w:rsidRPr="00A02FC8">
        <w:rPr>
          <w:rFonts w:ascii="Arial" w:eastAsia="Arial Unicode MS" w:hAnsi="Arial" w:cs="Arial"/>
          <w:bCs/>
          <w:lang w:eastAsia="es-ES"/>
        </w:rPr>
        <w:t>/202</w:t>
      </w:r>
      <w:r w:rsidR="00FD221E">
        <w:rPr>
          <w:rFonts w:ascii="Arial" w:eastAsia="Arial Unicode MS" w:hAnsi="Arial" w:cs="Arial"/>
          <w:bCs/>
          <w:lang w:eastAsia="es-ES"/>
        </w:rPr>
        <w:t>5</w:t>
      </w:r>
      <w:r w:rsidR="00FD221E" w:rsidRPr="00A02FC8">
        <w:rPr>
          <w:rFonts w:ascii="Arial" w:eastAsia="Arial Unicode MS" w:hAnsi="Arial" w:cs="Arial"/>
          <w:bCs/>
          <w:lang w:eastAsia="es-ES"/>
        </w:rPr>
        <w:t xml:space="preserve"> suscritos por el Comisionado presidente del Consejo General del OGAIP Oaxaca, se emitió el requerimiento a Titulares y Responsables de las Unidades de Transparencia de los sujetos obligados del Estado de Oaxaca para que, a más tardar el </w:t>
      </w:r>
      <w:r w:rsidR="00FD221E">
        <w:rPr>
          <w:rFonts w:ascii="Arial" w:eastAsia="Arial Unicode MS" w:hAnsi="Arial" w:cs="Arial"/>
          <w:bCs/>
          <w:lang w:eastAsia="es-ES"/>
        </w:rPr>
        <w:t xml:space="preserve">31 </w:t>
      </w:r>
      <w:r w:rsidR="00FD221E" w:rsidRPr="00A02FC8">
        <w:rPr>
          <w:rFonts w:ascii="Arial" w:eastAsia="Arial Unicode MS" w:hAnsi="Arial" w:cs="Arial"/>
          <w:bCs/>
          <w:lang w:eastAsia="es-ES"/>
        </w:rPr>
        <w:t xml:space="preserve">de enero de </w:t>
      </w:r>
      <w:r w:rsidR="00FD221E">
        <w:rPr>
          <w:rFonts w:ascii="Arial" w:eastAsia="Arial Unicode MS" w:hAnsi="Arial" w:cs="Arial"/>
          <w:bCs/>
          <w:lang w:eastAsia="es-ES"/>
        </w:rPr>
        <w:t>2025</w:t>
      </w:r>
      <w:r w:rsidR="00FD221E" w:rsidRPr="00A02FC8">
        <w:rPr>
          <w:rFonts w:ascii="Arial" w:eastAsia="Arial Unicode MS" w:hAnsi="Arial" w:cs="Arial"/>
          <w:bCs/>
          <w:lang w:eastAsia="es-ES"/>
        </w:rPr>
        <w:t>, remitieran el Catálogo de información de interés público susceptible de ser dictaminado como tal por este Órgano Garante. Dicho comunicado fue notificado a través de las cuentas de correo electrónico que en su oportunidad fueron proporcionadas por los Sujetos Obligados al Órgano Garante.</w:t>
      </w:r>
    </w:p>
    <w:p w14:paraId="7565E305" w14:textId="68E37ED5" w:rsidR="00BB3D18" w:rsidRDefault="00FD221E" w:rsidP="00C76655">
      <w:pPr>
        <w:tabs>
          <w:tab w:val="left" w:pos="851"/>
        </w:tabs>
        <w:spacing w:after="240" w:line="360" w:lineRule="auto"/>
        <w:jc w:val="both"/>
        <w:rPr>
          <w:rFonts w:ascii="Arial" w:eastAsia="Arial Unicode MS" w:hAnsi="Arial" w:cs="Arial"/>
          <w:bCs/>
        </w:rPr>
      </w:pPr>
      <w:r w:rsidRPr="00A02FC8">
        <w:rPr>
          <w:rFonts w:ascii="Arial" w:eastAsia="Arial Unicode MS" w:hAnsi="Arial" w:cs="Arial"/>
          <w:bCs/>
          <w:lang w:eastAsia="es-ES"/>
        </w:rPr>
        <w:t xml:space="preserve">Aunado a ello, para propiciar una mayor difusión del requerimiento entre los Sujetos </w:t>
      </w:r>
      <w:r>
        <w:rPr>
          <w:rFonts w:ascii="Arial" w:eastAsia="Arial Unicode MS" w:hAnsi="Arial" w:cs="Arial"/>
          <w:bCs/>
          <w:lang w:eastAsia="es-ES"/>
        </w:rPr>
        <w:t>O</w:t>
      </w:r>
      <w:r w:rsidRPr="00A02FC8">
        <w:rPr>
          <w:rFonts w:ascii="Arial" w:eastAsia="Arial Unicode MS" w:hAnsi="Arial" w:cs="Arial"/>
          <w:bCs/>
          <w:lang w:eastAsia="es-ES"/>
        </w:rPr>
        <w:t xml:space="preserve">bligados a los que les fue notificado vía correo electrónico, pero sobre todo, para aquellos de los que no se tiene canal de comunicación institucional digital, por no contar con las condiciones tecnológicas necesarias, o bien, de aquellos Sujetos </w:t>
      </w:r>
      <w:r>
        <w:rPr>
          <w:rFonts w:ascii="Arial" w:eastAsia="Arial Unicode MS" w:hAnsi="Arial" w:cs="Arial"/>
          <w:bCs/>
          <w:lang w:eastAsia="es-ES"/>
        </w:rPr>
        <w:t>O</w:t>
      </w:r>
      <w:r w:rsidRPr="00A02FC8">
        <w:rPr>
          <w:rFonts w:ascii="Arial" w:eastAsia="Arial Unicode MS" w:hAnsi="Arial" w:cs="Arial"/>
          <w:bCs/>
          <w:lang w:eastAsia="es-ES"/>
        </w:rPr>
        <w:t xml:space="preserve">bligados que hubieren sido renovados o designados nuevos titulares, ambos requerimientos igualmente fueron publicados en el portal institucional y las redes sociales de este Órgano Garante. </w:t>
      </w:r>
      <w:r w:rsidRPr="00A02FC8">
        <w:rPr>
          <w:rFonts w:ascii="Arial" w:eastAsia="Arial Unicode MS" w:hAnsi="Arial" w:cs="Arial"/>
          <w:bCs/>
        </w:rPr>
        <w:t xml:space="preserve">Como documento adjunto a ambos comunicados, y disponibles para consulta y descarga en el portal de este Órgano Garante, se puso a disposición de los Sujetos </w:t>
      </w:r>
      <w:r>
        <w:rPr>
          <w:rFonts w:ascii="Arial" w:eastAsia="Arial Unicode MS" w:hAnsi="Arial" w:cs="Arial"/>
          <w:bCs/>
        </w:rPr>
        <w:t>O</w:t>
      </w:r>
      <w:r w:rsidRPr="00A02FC8">
        <w:rPr>
          <w:rFonts w:ascii="Arial" w:eastAsia="Arial Unicode MS" w:hAnsi="Arial" w:cs="Arial"/>
          <w:bCs/>
        </w:rPr>
        <w:t>bligados la cédula para identificación de la información, así como información complementaria con la finalidad de que se contara con los elementos suficientes para remitir la información solicitada y favorecer el proceso de valoración de los listados que cumplieran con los requisitos de calidad para la determinación del catálogo de información de interés público respectivo.</w:t>
      </w:r>
    </w:p>
    <w:p w14:paraId="25C85C30" w14:textId="5EF0728F" w:rsidR="00FD221E" w:rsidRPr="00A02FC8" w:rsidRDefault="00FB1914" w:rsidP="00C76655">
      <w:pPr>
        <w:tabs>
          <w:tab w:val="left" w:pos="851"/>
        </w:tabs>
        <w:spacing w:after="240" w:line="360" w:lineRule="auto"/>
        <w:jc w:val="both"/>
        <w:rPr>
          <w:rFonts w:ascii="Arial" w:eastAsia="Arial Unicode MS" w:hAnsi="Arial" w:cs="Arial"/>
          <w:bCs/>
          <w:lang w:eastAsia="es-ES"/>
        </w:rPr>
      </w:pPr>
      <w:r>
        <w:rPr>
          <w:rFonts w:ascii="Arial" w:eastAsia="Arial Unicode MS" w:hAnsi="Arial" w:cs="Arial"/>
          <w:b/>
          <w:lang w:eastAsia="es-ES"/>
        </w:rPr>
        <w:t>SEXTO</w:t>
      </w:r>
      <w:r w:rsidR="00FD221E" w:rsidRPr="00A02FC8">
        <w:rPr>
          <w:rFonts w:ascii="Arial" w:eastAsia="Arial Unicode MS" w:hAnsi="Arial" w:cs="Arial"/>
          <w:b/>
          <w:lang w:eastAsia="es-ES"/>
        </w:rPr>
        <w:t xml:space="preserve">. </w:t>
      </w:r>
      <w:r w:rsidR="00FD221E" w:rsidRPr="00A02FC8">
        <w:rPr>
          <w:rFonts w:ascii="Arial" w:eastAsia="Arial Unicode MS" w:hAnsi="Arial" w:cs="Arial"/>
          <w:bCs/>
          <w:lang w:eastAsia="es-ES"/>
        </w:rPr>
        <w:t xml:space="preserve">Cumplido el plazo antes señalado, y en respuesta a los requerimientos, del padrón de sujetos obligados vigente en el </w:t>
      </w:r>
      <w:r w:rsidR="00FD221E">
        <w:rPr>
          <w:rFonts w:ascii="Arial" w:eastAsia="Arial Unicode MS" w:hAnsi="Arial" w:cs="Arial"/>
          <w:bCs/>
          <w:lang w:eastAsia="es-ES"/>
        </w:rPr>
        <w:t>e</w:t>
      </w:r>
      <w:r w:rsidR="00FD221E" w:rsidRPr="00A02FC8">
        <w:rPr>
          <w:rFonts w:ascii="Arial" w:eastAsia="Arial Unicode MS" w:hAnsi="Arial" w:cs="Arial"/>
          <w:bCs/>
          <w:lang w:eastAsia="es-ES"/>
        </w:rPr>
        <w:t>stado</w:t>
      </w:r>
      <w:r w:rsidR="00FD221E">
        <w:rPr>
          <w:rFonts w:ascii="Arial" w:eastAsia="Arial Unicode MS" w:hAnsi="Arial" w:cs="Arial"/>
          <w:bCs/>
          <w:lang w:eastAsia="es-ES"/>
        </w:rPr>
        <w:t xml:space="preserve"> de Oaxaca</w:t>
      </w:r>
      <w:r w:rsidR="00FD221E" w:rsidRPr="00A02FC8">
        <w:rPr>
          <w:rFonts w:ascii="Arial" w:eastAsia="Arial Unicode MS" w:hAnsi="Arial" w:cs="Arial"/>
          <w:bCs/>
          <w:lang w:eastAsia="es-ES"/>
        </w:rPr>
        <w:t xml:space="preserve">, diversos </w:t>
      </w:r>
      <w:r w:rsidR="00FD221E">
        <w:rPr>
          <w:rFonts w:ascii="Arial" w:eastAsia="Arial Unicode MS" w:hAnsi="Arial" w:cs="Arial"/>
          <w:bCs/>
          <w:lang w:eastAsia="es-ES"/>
        </w:rPr>
        <w:t>responsables</w:t>
      </w:r>
      <w:r w:rsidR="00FD221E" w:rsidRPr="00A02FC8">
        <w:rPr>
          <w:rFonts w:ascii="Arial" w:eastAsia="Arial Unicode MS" w:hAnsi="Arial" w:cs="Arial"/>
          <w:bCs/>
          <w:lang w:eastAsia="es-ES"/>
        </w:rPr>
        <w:t xml:space="preserve"> de las unidades de </w:t>
      </w:r>
      <w:r w:rsidR="00FD221E">
        <w:rPr>
          <w:rFonts w:ascii="Arial" w:eastAsia="Arial Unicode MS" w:hAnsi="Arial" w:cs="Arial"/>
          <w:bCs/>
          <w:lang w:eastAsia="es-ES"/>
        </w:rPr>
        <w:t>t</w:t>
      </w:r>
      <w:r w:rsidR="00FD221E" w:rsidRPr="00A02FC8">
        <w:rPr>
          <w:rFonts w:ascii="Arial" w:eastAsia="Arial Unicode MS" w:hAnsi="Arial" w:cs="Arial"/>
          <w:bCs/>
          <w:lang w:eastAsia="es-ES"/>
        </w:rPr>
        <w:t xml:space="preserve">ransparencia remitieron el listado de información que consideraron de interés público; </w:t>
      </w:r>
      <w:r w:rsidR="00FD221E">
        <w:rPr>
          <w:rFonts w:ascii="Arial" w:eastAsia="Arial Unicode MS" w:hAnsi="Arial" w:cs="Arial"/>
          <w:bCs/>
          <w:lang w:eastAsia="es-ES"/>
        </w:rPr>
        <w:t xml:space="preserve">asimismo hubo quienes </w:t>
      </w:r>
      <w:r w:rsidR="00FD221E" w:rsidRPr="00A02FC8">
        <w:rPr>
          <w:rFonts w:ascii="Arial" w:eastAsia="Arial Unicode MS" w:hAnsi="Arial" w:cs="Arial"/>
          <w:bCs/>
          <w:lang w:eastAsia="es-ES"/>
        </w:rPr>
        <w:t>informaron carecer de información que reuniera las características de info</w:t>
      </w:r>
      <w:r w:rsidR="00FD221E">
        <w:rPr>
          <w:rFonts w:ascii="Arial" w:eastAsia="Arial Unicode MS" w:hAnsi="Arial" w:cs="Arial"/>
          <w:bCs/>
          <w:lang w:eastAsia="es-ES"/>
        </w:rPr>
        <w:t>r</w:t>
      </w:r>
      <w:r w:rsidR="00FD221E" w:rsidRPr="00A02FC8">
        <w:rPr>
          <w:rFonts w:ascii="Arial" w:eastAsia="Arial Unicode MS" w:hAnsi="Arial" w:cs="Arial"/>
          <w:bCs/>
          <w:lang w:eastAsia="es-ES"/>
        </w:rPr>
        <w:t xml:space="preserve">mación pública relevante y </w:t>
      </w:r>
      <w:r w:rsidR="00FD221E">
        <w:rPr>
          <w:rFonts w:ascii="Arial" w:eastAsia="Arial Unicode MS" w:hAnsi="Arial" w:cs="Arial"/>
          <w:bCs/>
          <w:lang w:eastAsia="es-ES"/>
        </w:rPr>
        <w:t xml:space="preserve">quienes </w:t>
      </w:r>
      <w:r w:rsidR="00FD221E" w:rsidRPr="00A02FC8">
        <w:rPr>
          <w:rFonts w:ascii="Arial" w:eastAsia="Arial Unicode MS" w:hAnsi="Arial" w:cs="Arial"/>
          <w:bCs/>
          <w:lang w:eastAsia="es-ES"/>
        </w:rPr>
        <w:t xml:space="preserve">no dieron respuesta a los requerimientos. En tal sentido, los Lineamientos vigentes en materia de interés público prevén varios supuestos para considerar que la información remitida en los listados constituye información de interés público, por </w:t>
      </w:r>
      <w:r w:rsidR="00FD221E" w:rsidRPr="00A02FC8">
        <w:rPr>
          <w:rFonts w:ascii="Arial" w:eastAsia="Arial Unicode MS" w:hAnsi="Arial" w:cs="Arial"/>
          <w:bCs/>
          <w:lang w:eastAsia="es-ES"/>
        </w:rPr>
        <w:lastRenderedPageBreak/>
        <w:t xml:space="preserve">lo que, para la integración del catálogo que se someterá a consideración del Consejo General, se determinó suficiente que la información se adecuara a alguna de las hipótesis normativas para ser incluida en el catálogo del presente dictamen. Consecuentemente, si cualquier elemento informativo de los listados enviados por los Sujetos obligados no cumplía con alguna de las hipótesis de los artículos 7 y 10, considerados como obligatorios, así como los supuestos adicionales de los artículos 8 y 9, no serían considerados en el catálogo, bajo la premisa de que la información debe ser de interés público. </w:t>
      </w:r>
    </w:p>
    <w:p w14:paraId="232FA822" w14:textId="3BDE559D" w:rsidR="00FD221E" w:rsidRPr="00C76655" w:rsidRDefault="00FD221E" w:rsidP="00C76655">
      <w:pPr>
        <w:tabs>
          <w:tab w:val="left" w:pos="851"/>
        </w:tabs>
        <w:spacing w:after="240" w:line="360" w:lineRule="auto"/>
        <w:jc w:val="both"/>
        <w:rPr>
          <w:rFonts w:ascii="Arial" w:eastAsia="Arial Unicode MS" w:hAnsi="Arial" w:cs="Arial"/>
          <w:bCs/>
          <w:lang w:eastAsia="es-ES"/>
        </w:rPr>
      </w:pPr>
      <w:r w:rsidRPr="00A02FC8">
        <w:rPr>
          <w:rFonts w:ascii="Arial" w:eastAsia="Arial Unicode MS" w:hAnsi="Arial" w:cs="Arial"/>
          <w:bCs/>
          <w:lang w:eastAsia="es-ES"/>
        </w:rPr>
        <w:t xml:space="preserve">Así, </w:t>
      </w:r>
      <w:r>
        <w:rPr>
          <w:rFonts w:ascii="Arial" w:eastAsia="Arial Unicode MS" w:hAnsi="Arial" w:cs="Arial"/>
          <w:bCs/>
          <w:lang w:eastAsia="es-ES"/>
        </w:rPr>
        <w:t xml:space="preserve">la Dirección de Gobierno Abierto, con base en el análisis de la información contenida en </w:t>
      </w:r>
      <w:r w:rsidRPr="00A02FC8">
        <w:rPr>
          <w:rFonts w:ascii="Arial" w:eastAsia="Arial Unicode MS" w:hAnsi="Arial" w:cs="Arial"/>
          <w:bCs/>
          <w:lang w:eastAsia="es-ES"/>
        </w:rPr>
        <w:t>los oficios de atención y listados recibidos</w:t>
      </w:r>
      <w:r>
        <w:rPr>
          <w:rFonts w:ascii="Arial" w:eastAsia="Arial Unicode MS" w:hAnsi="Arial" w:cs="Arial"/>
          <w:bCs/>
          <w:lang w:eastAsia="es-ES"/>
        </w:rPr>
        <w:t xml:space="preserve">, elaboró </w:t>
      </w:r>
      <w:r w:rsidRPr="00A02FC8">
        <w:rPr>
          <w:rFonts w:ascii="Arial" w:eastAsia="Arial Unicode MS" w:hAnsi="Arial" w:cs="Arial"/>
          <w:bCs/>
          <w:lang w:eastAsia="es-ES"/>
        </w:rPr>
        <w:t xml:space="preserve">el </w:t>
      </w:r>
      <w:r>
        <w:rPr>
          <w:rFonts w:ascii="Arial" w:eastAsia="Arial Unicode MS" w:hAnsi="Arial" w:cs="Arial"/>
          <w:b/>
          <w:lang w:eastAsia="es-ES"/>
        </w:rPr>
        <w:t>anexo</w:t>
      </w:r>
      <w:r w:rsidRPr="00A02FC8">
        <w:rPr>
          <w:rFonts w:ascii="Arial" w:eastAsia="Arial Unicode MS" w:hAnsi="Arial" w:cs="Arial"/>
          <w:b/>
          <w:lang w:eastAsia="es-ES"/>
        </w:rPr>
        <w:t xml:space="preserve"> único</w:t>
      </w:r>
      <w:r w:rsidRPr="00A02FC8">
        <w:rPr>
          <w:rFonts w:ascii="Arial" w:eastAsia="Arial Unicode MS" w:hAnsi="Arial" w:cs="Arial"/>
          <w:bCs/>
          <w:lang w:eastAsia="es-ES"/>
        </w:rPr>
        <w:t xml:space="preserve"> del presente dictamen</w:t>
      </w:r>
      <w:r>
        <w:rPr>
          <w:rFonts w:ascii="Arial" w:eastAsia="Arial Unicode MS" w:hAnsi="Arial" w:cs="Arial"/>
          <w:bCs/>
          <w:lang w:eastAsia="es-ES"/>
        </w:rPr>
        <w:t xml:space="preserve"> en el que se advierte </w:t>
      </w:r>
      <w:r w:rsidRPr="00A02FC8">
        <w:rPr>
          <w:rFonts w:ascii="Arial" w:eastAsia="Arial Unicode MS" w:hAnsi="Arial" w:cs="Arial"/>
          <w:bCs/>
          <w:lang w:eastAsia="es-ES"/>
        </w:rPr>
        <w:t>que:</w:t>
      </w:r>
    </w:p>
    <w:p w14:paraId="7651ECA0" w14:textId="70DC66CA" w:rsidR="00FD221E" w:rsidRPr="00A02FC8" w:rsidRDefault="00FD221E" w:rsidP="00FD221E">
      <w:pPr>
        <w:pStyle w:val="Prrafodelista"/>
        <w:widowControl/>
        <w:numPr>
          <w:ilvl w:val="0"/>
          <w:numId w:val="1"/>
        </w:numPr>
        <w:autoSpaceDE/>
        <w:autoSpaceDN/>
        <w:spacing w:line="360" w:lineRule="auto"/>
        <w:contextualSpacing/>
        <w:jc w:val="both"/>
        <w:rPr>
          <w:rFonts w:ascii="Arial" w:eastAsia="Arial Unicode MS" w:hAnsi="Arial" w:cs="Arial"/>
          <w:lang w:eastAsia="es-MX"/>
        </w:rPr>
      </w:pPr>
      <w:r w:rsidRPr="00A02FC8">
        <w:rPr>
          <w:rFonts w:ascii="Arial" w:eastAsia="Arial Unicode MS" w:hAnsi="Arial" w:cs="Arial"/>
          <w:lang w:eastAsia="es-MX"/>
        </w:rPr>
        <w:t xml:space="preserve">Setenta y </w:t>
      </w:r>
      <w:r>
        <w:rPr>
          <w:rFonts w:ascii="Arial" w:eastAsia="Arial Unicode MS" w:hAnsi="Arial" w:cs="Arial"/>
          <w:lang w:eastAsia="es-MX"/>
        </w:rPr>
        <w:t>cuatro</w:t>
      </w:r>
      <w:r w:rsidRPr="00A02FC8">
        <w:rPr>
          <w:rFonts w:ascii="Arial" w:eastAsia="Arial Unicode MS" w:hAnsi="Arial" w:cs="Arial"/>
          <w:lang w:eastAsia="es-MX"/>
        </w:rPr>
        <w:t xml:space="preserve"> (7</w:t>
      </w:r>
      <w:r>
        <w:rPr>
          <w:rFonts w:ascii="Arial" w:eastAsia="Arial Unicode MS" w:hAnsi="Arial" w:cs="Arial"/>
          <w:lang w:eastAsia="es-MX"/>
        </w:rPr>
        <w:t>4</w:t>
      </w:r>
      <w:r w:rsidRPr="00A02FC8">
        <w:rPr>
          <w:rFonts w:ascii="Arial" w:eastAsia="Arial Unicode MS" w:hAnsi="Arial" w:cs="Arial"/>
          <w:lang w:eastAsia="es-MX"/>
        </w:rPr>
        <w:t>) Sujetos Obligados respondieron al requerimiento del Órgano Garante para la remisión de sus listados de información de interés público, generada en el ejercicio fiscal 202</w:t>
      </w:r>
      <w:r w:rsidR="00BF3440">
        <w:rPr>
          <w:rFonts w:ascii="Arial" w:eastAsia="Arial Unicode MS" w:hAnsi="Arial" w:cs="Arial"/>
          <w:lang w:eastAsia="es-MX"/>
        </w:rPr>
        <w:t>4</w:t>
      </w:r>
      <w:r w:rsidRPr="00A02FC8">
        <w:rPr>
          <w:rFonts w:ascii="Arial" w:eastAsia="Arial Unicode MS" w:hAnsi="Arial" w:cs="Arial"/>
          <w:lang w:eastAsia="es-MX"/>
        </w:rPr>
        <w:t>.</w:t>
      </w:r>
    </w:p>
    <w:p w14:paraId="3FEFB2E2" w14:textId="77777777" w:rsidR="00FD221E" w:rsidRPr="00A02FC8" w:rsidRDefault="00FD221E" w:rsidP="00FD221E">
      <w:pPr>
        <w:pStyle w:val="Prrafodelista"/>
        <w:widowControl/>
        <w:numPr>
          <w:ilvl w:val="0"/>
          <w:numId w:val="1"/>
        </w:numPr>
        <w:autoSpaceDE/>
        <w:autoSpaceDN/>
        <w:spacing w:line="360" w:lineRule="auto"/>
        <w:contextualSpacing/>
        <w:jc w:val="both"/>
        <w:rPr>
          <w:rFonts w:ascii="Arial" w:eastAsia="Arial Unicode MS" w:hAnsi="Arial" w:cs="Arial"/>
          <w:lang w:eastAsia="es-MX"/>
        </w:rPr>
      </w:pPr>
      <w:r w:rsidRPr="00A02FC8">
        <w:rPr>
          <w:rFonts w:ascii="Arial" w:eastAsia="Arial Unicode MS" w:hAnsi="Arial" w:cs="Arial"/>
          <w:lang w:eastAsia="es-MX"/>
        </w:rPr>
        <w:t xml:space="preserve">De ellos, cuarenta y </w:t>
      </w:r>
      <w:r>
        <w:rPr>
          <w:rFonts w:ascii="Arial" w:eastAsia="Arial Unicode MS" w:hAnsi="Arial" w:cs="Arial"/>
          <w:lang w:eastAsia="es-MX"/>
        </w:rPr>
        <w:t>cuatro</w:t>
      </w:r>
      <w:r w:rsidRPr="00A02FC8">
        <w:rPr>
          <w:rFonts w:ascii="Arial" w:eastAsia="Arial Unicode MS" w:hAnsi="Arial" w:cs="Arial"/>
          <w:lang w:eastAsia="es-MX"/>
        </w:rPr>
        <w:t xml:space="preserve"> (4</w:t>
      </w:r>
      <w:r>
        <w:rPr>
          <w:rFonts w:ascii="Arial" w:eastAsia="Arial Unicode MS" w:hAnsi="Arial" w:cs="Arial"/>
          <w:lang w:eastAsia="es-MX"/>
        </w:rPr>
        <w:t>4</w:t>
      </w:r>
      <w:r w:rsidRPr="00A02FC8">
        <w:rPr>
          <w:rFonts w:ascii="Arial" w:eastAsia="Arial Unicode MS" w:hAnsi="Arial" w:cs="Arial"/>
          <w:lang w:eastAsia="es-MX"/>
        </w:rPr>
        <w:t>) remitieron listados de información que consideran de interés público.</w:t>
      </w:r>
    </w:p>
    <w:p w14:paraId="69AE4C36" w14:textId="77777777" w:rsidR="00FD221E" w:rsidRPr="00A02FC8" w:rsidRDefault="00FD221E" w:rsidP="00FD221E">
      <w:pPr>
        <w:pStyle w:val="Prrafodelista"/>
        <w:widowControl/>
        <w:numPr>
          <w:ilvl w:val="0"/>
          <w:numId w:val="1"/>
        </w:numPr>
        <w:autoSpaceDE/>
        <w:autoSpaceDN/>
        <w:spacing w:line="360" w:lineRule="auto"/>
        <w:contextualSpacing/>
        <w:jc w:val="both"/>
        <w:rPr>
          <w:rFonts w:ascii="Arial" w:eastAsia="Arial Unicode MS" w:hAnsi="Arial" w:cs="Arial"/>
          <w:lang w:eastAsia="es-MX"/>
        </w:rPr>
      </w:pPr>
      <w:r>
        <w:rPr>
          <w:rFonts w:ascii="Arial" w:eastAsia="Arial Unicode MS" w:hAnsi="Arial" w:cs="Arial"/>
          <w:lang w:eastAsia="es-MX"/>
        </w:rPr>
        <w:t>Treinta</w:t>
      </w:r>
      <w:r w:rsidRPr="00A02FC8">
        <w:rPr>
          <w:rFonts w:ascii="Arial" w:eastAsia="Arial Unicode MS" w:hAnsi="Arial" w:cs="Arial"/>
          <w:lang w:eastAsia="es-MX"/>
        </w:rPr>
        <w:t xml:space="preserve"> (</w:t>
      </w:r>
      <w:r>
        <w:rPr>
          <w:rFonts w:ascii="Arial" w:eastAsia="Arial Unicode MS" w:hAnsi="Arial" w:cs="Arial"/>
          <w:lang w:eastAsia="es-MX"/>
        </w:rPr>
        <w:t>30</w:t>
      </w:r>
      <w:r w:rsidRPr="00A02FC8">
        <w:rPr>
          <w:rFonts w:ascii="Arial" w:eastAsia="Arial Unicode MS" w:hAnsi="Arial" w:cs="Arial"/>
          <w:lang w:eastAsia="es-MX"/>
        </w:rPr>
        <w:t>) Sujetos Obligados respondieron que no generaron información de interés público.</w:t>
      </w:r>
    </w:p>
    <w:p w14:paraId="6A196BCD" w14:textId="2E0E55C6" w:rsidR="00FD221E" w:rsidRPr="00C76655" w:rsidRDefault="00FD221E" w:rsidP="00C76655">
      <w:pPr>
        <w:pStyle w:val="Prrafodelista"/>
        <w:widowControl/>
        <w:numPr>
          <w:ilvl w:val="0"/>
          <w:numId w:val="1"/>
        </w:numPr>
        <w:autoSpaceDE/>
        <w:autoSpaceDN/>
        <w:spacing w:after="240" w:line="360" w:lineRule="auto"/>
        <w:contextualSpacing/>
        <w:jc w:val="both"/>
        <w:rPr>
          <w:rFonts w:ascii="Arial" w:eastAsia="Arial Unicode MS" w:hAnsi="Arial" w:cs="Arial"/>
          <w:lang w:eastAsia="es-MX"/>
        </w:rPr>
      </w:pPr>
      <w:r w:rsidRPr="000E4493">
        <w:rPr>
          <w:rFonts w:ascii="Arial" w:eastAsia="Arial Unicode MS" w:hAnsi="Arial" w:cs="Arial"/>
          <w:lang w:eastAsia="es-ES"/>
        </w:rPr>
        <w:t xml:space="preserve">Seiscientos </w:t>
      </w:r>
      <w:r>
        <w:rPr>
          <w:rFonts w:ascii="Arial" w:eastAsia="Arial Unicode MS" w:hAnsi="Arial" w:cs="Arial"/>
          <w:lang w:eastAsia="es-ES"/>
        </w:rPr>
        <w:t>catorce</w:t>
      </w:r>
      <w:r w:rsidRPr="000E4493">
        <w:rPr>
          <w:rFonts w:ascii="Arial" w:eastAsia="Arial Unicode MS" w:hAnsi="Arial" w:cs="Arial"/>
          <w:lang w:eastAsia="es-ES"/>
        </w:rPr>
        <w:t xml:space="preserve"> (61</w:t>
      </w:r>
      <w:r>
        <w:rPr>
          <w:rFonts w:ascii="Arial" w:eastAsia="Arial Unicode MS" w:hAnsi="Arial" w:cs="Arial"/>
          <w:lang w:eastAsia="es-ES"/>
        </w:rPr>
        <w:t>4</w:t>
      </w:r>
      <w:r w:rsidRPr="00B535D5">
        <w:rPr>
          <w:rFonts w:ascii="Arial" w:eastAsia="Arial Unicode MS" w:hAnsi="Arial" w:cs="Arial"/>
          <w:lang w:eastAsia="es-ES"/>
        </w:rPr>
        <w:t>) Sujetos Obligados fueron omisos en atender los requerimientos de información de interés público.</w:t>
      </w:r>
    </w:p>
    <w:p w14:paraId="3E4DE056" w14:textId="706006F6" w:rsidR="00C76655" w:rsidRDefault="00FD221E" w:rsidP="00C76655">
      <w:pPr>
        <w:spacing w:line="360" w:lineRule="auto"/>
        <w:contextualSpacing/>
        <w:jc w:val="both"/>
        <w:rPr>
          <w:rFonts w:ascii="Arial" w:eastAsia="Times New Roman" w:hAnsi="Arial" w:cs="Arial"/>
          <w:color w:val="000000"/>
          <w:lang w:eastAsia="es-MX"/>
        </w:rPr>
      </w:pPr>
      <w:bookmarkStart w:id="0" w:name="_Hlk161738477"/>
      <w:r w:rsidRPr="00197DE0">
        <w:rPr>
          <w:rFonts w:ascii="Arial" w:eastAsia="Times New Roman" w:hAnsi="Arial" w:cs="Arial"/>
          <w:color w:val="000000"/>
          <w:lang w:eastAsia="es-MX"/>
        </w:rPr>
        <w:t>Cabe hace</w:t>
      </w:r>
      <w:r>
        <w:rPr>
          <w:rFonts w:ascii="Arial" w:eastAsia="Times New Roman" w:hAnsi="Arial" w:cs="Arial"/>
          <w:color w:val="000000"/>
          <w:lang w:eastAsia="es-MX"/>
        </w:rPr>
        <w:t>r</w:t>
      </w:r>
      <w:r w:rsidRPr="00197DE0">
        <w:rPr>
          <w:rFonts w:ascii="Arial" w:eastAsia="Times New Roman" w:hAnsi="Arial" w:cs="Arial"/>
          <w:color w:val="000000"/>
          <w:lang w:eastAsia="es-MX"/>
        </w:rPr>
        <w:t xml:space="preserve"> mención que, de</w:t>
      </w:r>
      <w:r>
        <w:rPr>
          <w:rFonts w:ascii="Arial" w:eastAsia="Times New Roman" w:hAnsi="Arial" w:cs="Arial"/>
          <w:color w:val="000000"/>
          <w:lang w:eastAsia="es-MX"/>
        </w:rPr>
        <w:t>l total de S</w:t>
      </w:r>
      <w:r w:rsidRPr="00197DE0">
        <w:rPr>
          <w:rFonts w:ascii="Arial" w:eastAsia="Times New Roman" w:hAnsi="Arial" w:cs="Arial"/>
          <w:color w:val="000000"/>
          <w:lang w:eastAsia="es-MX"/>
        </w:rPr>
        <w:t xml:space="preserve">ujetos </w:t>
      </w:r>
      <w:r>
        <w:rPr>
          <w:rFonts w:ascii="Arial" w:eastAsia="Times New Roman" w:hAnsi="Arial" w:cs="Arial"/>
          <w:color w:val="000000"/>
          <w:lang w:eastAsia="es-MX"/>
        </w:rPr>
        <w:t>O</w:t>
      </w:r>
      <w:r w:rsidRPr="00197DE0">
        <w:rPr>
          <w:rFonts w:ascii="Arial" w:eastAsia="Times New Roman" w:hAnsi="Arial" w:cs="Arial"/>
          <w:color w:val="000000"/>
          <w:lang w:eastAsia="es-MX"/>
        </w:rPr>
        <w:t>bligados</w:t>
      </w:r>
      <w:r>
        <w:rPr>
          <w:rFonts w:ascii="Arial" w:eastAsia="Times New Roman" w:hAnsi="Arial" w:cs="Arial"/>
          <w:color w:val="000000"/>
          <w:lang w:eastAsia="es-MX"/>
        </w:rPr>
        <w:t xml:space="preserve"> omisos</w:t>
      </w:r>
      <w:r w:rsidRPr="00197DE0">
        <w:rPr>
          <w:rFonts w:ascii="Arial" w:eastAsia="Times New Roman" w:hAnsi="Arial" w:cs="Arial"/>
          <w:color w:val="000000"/>
          <w:lang w:eastAsia="es-MX"/>
        </w:rPr>
        <w:t xml:space="preserve">, la mayoría son ayuntamientos con los cuales, dadas sus condiciones socioeconómicas y la orografía estatal, </w:t>
      </w:r>
      <w:r>
        <w:rPr>
          <w:rFonts w:ascii="Arial" w:eastAsia="Times New Roman" w:hAnsi="Arial" w:cs="Arial"/>
          <w:color w:val="000000"/>
          <w:lang w:eastAsia="es-MX"/>
        </w:rPr>
        <w:t xml:space="preserve">se dificulta la notificación del requerimiento ya que </w:t>
      </w:r>
      <w:r w:rsidRPr="00197DE0">
        <w:rPr>
          <w:rFonts w:ascii="Arial" w:eastAsia="Times New Roman" w:hAnsi="Arial" w:cs="Arial"/>
          <w:color w:val="000000"/>
          <w:lang w:eastAsia="es-MX"/>
        </w:rPr>
        <w:t xml:space="preserve">no es posible la </w:t>
      </w:r>
      <w:r w:rsidR="00C76655" w:rsidRPr="00197DE0">
        <w:rPr>
          <w:rFonts w:ascii="Arial" w:eastAsia="Times New Roman" w:hAnsi="Arial" w:cs="Arial"/>
          <w:color w:val="000000"/>
          <w:lang w:eastAsia="es-MX"/>
        </w:rPr>
        <w:t>comunicación</w:t>
      </w:r>
      <w:r w:rsidRPr="00197DE0">
        <w:rPr>
          <w:rFonts w:ascii="Arial" w:eastAsia="Times New Roman" w:hAnsi="Arial" w:cs="Arial"/>
          <w:color w:val="000000"/>
          <w:lang w:eastAsia="es-MX"/>
        </w:rPr>
        <w:t xml:space="preserve"> vía electrónica</w:t>
      </w:r>
      <w:bookmarkEnd w:id="0"/>
      <w:r w:rsidR="00C76655">
        <w:rPr>
          <w:rFonts w:ascii="Arial" w:eastAsia="Times New Roman" w:hAnsi="Arial" w:cs="Arial"/>
          <w:color w:val="000000"/>
          <w:lang w:eastAsia="es-MX"/>
        </w:rPr>
        <w:t>.</w:t>
      </w:r>
    </w:p>
    <w:p w14:paraId="2EF808E0" w14:textId="77777777" w:rsidR="00C76655" w:rsidRDefault="00C76655" w:rsidP="00C76655">
      <w:pPr>
        <w:spacing w:line="360" w:lineRule="auto"/>
        <w:contextualSpacing/>
        <w:jc w:val="both"/>
        <w:rPr>
          <w:rFonts w:ascii="Arial" w:eastAsia="Times New Roman" w:hAnsi="Arial" w:cs="Arial"/>
          <w:color w:val="000000"/>
          <w:lang w:eastAsia="es-MX"/>
        </w:rPr>
      </w:pPr>
    </w:p>
    <w:p w14:paraId="02AFD254" w14:textId="6D544A34" w:rsidR="00FD221E" w:rsidRDefault="00FB1914" w:rsidP="00C76655">
      <w:pPr>
        <w:spacing w:after="240" w:line="360" w:lineRule="auto"/>
        <w:contextualSpacing/>
        <w:jc w:val="both"/>
        <w:rPr>
          <w:rFonts w:ascii="Arial" w:eastAsia="Arial Unicode MS" w:hAnsi="Arial" w:cs="Arial"/>
          <w:bCs/>
          <w:lang w:eastAsia="es-ES"/>
        </w:rPr>
      </w:pPr>
      <w:r>
        <w:rPr>
          <w:rFonts w:ascii="Arial" w:eastAsia="Arial Unicode MS" w:hAnsi="Arial" w:cs="Arial"/>
          <w:b/>
          <w:bCs/>
          <w:lang w:eastAsia="es-ES"/>
        </w:rPr>
        <w:t>SÉPTIMO</w:t>
      </w:r>
      <w:r w:rsidR="00FD221E" w:rsidRPr="002C414D">
        <w:rPr>
          <w:rFonts w:ascii="Arial" w:eastAsia="Arial Unicode MS" w:hAnsi="Arial" w:cs="Arial"/>
          <w:b/>
          <w:bCs/>
          <w:lang w:eastAsia="es-ES"/>
        </w:rPr>
        <w:t xml:space="preserve">. </w:t>
      </w:r>
      <w:r w:rsidR="00FD221E" w:rsidRPr="002C414D">
        <w:rPr>
          <w:rFonts w:ascii="Arial" w:eastAsia="Arial Unicode MS" w:hAnsi="Arial" w:cs="Arial"/>
          <w:lang w:eastAsia="es-ES"/>
        </w:rPr>
        <w:t>Como resultado de la revisión efectuada por esta Dirección de Gobierno Abierto, se</w:t>
      </w:r>
      <w:r w:rsidR="00FD221E" w:rsidRPr="002C414D">
        <w:rPr>
          <w:rFonts w:ascii="Arial" w:eastAsia="Arial Unicode MS" w:hAnsi="Arial" w:cs="Arial"/>
          <w:b/>
          <w:bCs/>
          <w:lang w:eastAsia="es-ES"/>
        </w:rPr>
        <w:t xml:space="preserve"> </w:t>
      </w:r>
      <w:r w:rsidR="00FD221E" w:rsidRPr="002C414D">
        <w:rPr>
          <w:rFonts w:ascii="Arial" w:eastAsia="Arial Unicode MS" w:hAnsi="Arial" w:cs="Arial"/>
          <w:bCs/>
          <w:lang w:eastAsia="es-ES"/>
        </w:rPr>
        <w:t xml:space="preserve">determinó que el Catálogo de Información de Interés Público de los Sujetos obligados que cumplen con los requisitos y supuestos normativos considerados en los vigentes </w:t>
      </w:r>
      <w:r w:rsidR="00FD221E" w:rsidRPr="002C414D">
        <w:rPr>
          <w:rFonts w:ascii="Arial" w:eastAsia="Arial Unicode MS" w:hAnsi="Arial" w:cs="Arial"/>
          <w:i/>
          <w:iCs/>
          <w:color w:val="000000" w:themeColor="text1"/>
        </w:rPr>
        <w:t>Lineamientos para determinar los catálogos y publicación de información de interés público</w:t>
      </w:r>
      <w:r w:rsidR="00FD221E" w:rsidRPr="002C414D">
        <w:rPr>
          <w:rFonts w:ascii="Arial" w:eastAsia="Arial Unicode MS" w:hAnsi="Arial" w:cs="Arial"/>
          <w:bCs/>
          <w:lang w:eastAsia="es-ES"/>
        </w:rPr>
        <w:t xml:space="preserve">, en términos del </w:t>
      </w:r>
      <w:r w:rsidR="00FD221E">
        <w:rPr>
          <w:rFonts w:ascii="Arial" w:eastAsia="Arial Unicode MS" w:hAnsi="Arial" w:cs="Arial"/>
          <w:b/>
          <w:lang w:eastAsia="es-ES"/>
        </w:rPr>
        <w:t>anexo</w:t>
      </w:r>
      <w:r w:rsidR="00FD221E" w:rsidRPr="002C414D">
        <w:rPr>
          <w:rFonts w:ascii="Arial" w:eastAsia="Arial Unicode MS" w:hAnsi="Arial" w:cs="Arial"/>
          <w:b/>
          <w:lang w:eastAsia="es-ES"/>
        </w:rPr>
        <w:t xml:space="preserve"> único</w:t>
      </w:r>
      <w:r w:rsidR="00FD221E" w:rsidRPr="002C414D">
        <w:rPr>
          <w:rFonts w:ascii="Arial" w:eastAsia="Arial Unicode MS" w:hAnsi="Arial" w:cs="Arial"/>
          <w:bCs/>
          <w:lang w:eastAsia="es-ES"/>
        </w:rPr>
        <w:t xml:space="preserve"> (Catálogo IIP 202</w:t>
      </w:r>
      <w:r w:rsidR="00FD221E">
        <w:rPr>
          <w:rFonts w:ascii="Arial" w:eastAsia="Arial Unicode MS" w:hAnsi="Arial" w:cs="Arial"/>
          <w:bCs/>
          <w:lang w:eastAsia="es-ES"/>
        </w:rPr>
        <w:t>4</w:t>
      </w:r>
      <w:r w:rsidR="00FD221E" w:rsidRPr="002C414D">
        <w:rPr>
          <w:rFonts w:ascii="Arial" w:eastAsia="Arial Unicode MS" w:hAnsi="Arial" w:cs="Arial"/>
          <w:bCs/>
          <w:lang w:eastAsia="es-ES"/>
        </w:rPr>
        <w:t xml:space="preserve">) del presente documento, </w:t>
      </w:r>
      <w:r w:rsidR="00FD221E">
        <w:rPr>
          <w:rFonts w:ascii="Arial" w:eastAsia="Arial Unicode MS" w:hAnsi="Arial" w:cs="Arial"/>
          <w:bCs/>
          <w:lang w:eastAsia="es-ES"/>
        </w:rPr>
        <w:t xml:space="preserve">se integra por la información </w:t>
      </w:r>
      <w:r w:rsidR="00FD221E" w:rsidRPr="002C414D">
        <w:rPr>
          <w:rFonts w:ascii="Arial" w:eastAsia="Arial Unicode MS" w:hAnsi="Arial" w:cs="Arial"/>
          <w:bCs/>
          <w:lang w:eastAsia="es-ES"/>
        </w:rPr>
        <w:t>correspondiente a los Sujetos Obligados siguientes:</w:t>
      </w:r>
    </w:p>
    <w:p w14:paraId="7FF435C3" w14:textId="56BF7ADE" w:rsidR="00C76655" w:rsidRDefault="00C76655" w:rsidP="00C76655">
      <w:pPr>
        <w:spacing w:after="240" w:line="360" w:lineRule="auto"/>
        <w:contextualSpacing/>
        <w:jc w:val="both"/>
        <w:rPr>
          <w:rFonts w:ascii="Arial" w:eastAsia="Arial Unicode MS" w:hAnsi="Arial" w:cs="Arial"/>
          <w:bCs/>
          <w:lang w:eastAsia="es-ES"/>
        </w:rPr>
      </w:pPr>
    </w:p>
    <w:p w14:paraId="0AD96866" w14:textId="5186CB0C" w:rsidR="00C76655" w:rsidRDefault="00C76655" w:rsidP="00C76655">
      <w:pPr>
        <w:spacing w:after="240" w:line="360" w:lineRule="auto"/>
        <w:contextualSpacing/>
        <w:jc w:val="both"/>
        <w:rPr>
          <w:rFonts w:ascii="Arial" w:eastAsia="Arial Unicode MS" w:hAnsi="Arial" w:cs="Arial"/>
          <w:bCs/>
          <w:lang w:eastAsia="es-ES"/>
        </w:rPr>
      </w:pPr>
    </w:p>
    <w:p w14:paraId="3B287BD4" w14:textId="1B234025" w:rsidR="00C76655" w:rsidRDefault="00C76655" w:rsidP="00C76655">
      <w:pPr>
        <w:spacing w:after="240" w:line="360" w:lineRule="auto"/>
        <w:contextualSpacing/>
        <w:jc w:val="both"/>
        <w:rPr>
          <w:rFonts w:ascii="Arial" w:eastAsia="Arial Unicode MS" w:hAnsi="Arial" w:cs="Arial"/>
          <w:bCs/>
          <w:lang w:eastAsia="es-ES"/>
        </w:rPr>
      </w:pPr>
    </w:p>
    <w:p w14:paraId="326093E6" w14:textId="3E16AAD5" w:rsidR="00C76655" w:rsidRDefault="00C76655" w:rsidP="00C76655">
      <w:pPr>
        <w:spacing w:after="240" w:line="360" w:lineRule="auto"/>
        <w:contextualSpacing/>
        <w:jc w:val="both"/>
        <w:rPr>
          <w:rFonts w:ascii="Arial" w:eastAsia="Arial Unicode MS" w:hAnsi="Arial" w:cs="Arial"/>
          <w:bCs/>
          <w:lang w:eastAsia="es-ES"/>
        </w:rPr>
      </w:pPr>
    </w:p>
    <w:p w14:paraId="2E249BDC"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Pr>
          <w:rFonts w:ascii="Arial" w:eastAsia="Times New Roman" w:hAnsi="Arial" w:cs="Arial"/>
          <w:bCs/>
          <w:color w:val="000000"/>
          <w:sz w:val="22"/>
          <w:szCs w:val="22"/>
          <w:lang w:val="es-ES" w:eastAsia="es-MX"/>
        </w:rPr>
        <w:lastRenderedPageBreak/>
        <w:t>1</w:t>
      </w:r>
      <w:r>
        <w:rPr>
          <w:rFonts w:ascii="Arial" w:eastAsia="Times New Roman" w:hAnsi="Arial" w:cs="Arial"/>
          <w:bCs/>
          <w:color w:val="000000"/>
          <w:sz w:val="22"/>
          <w:szCs w:val="22"/>
          <w:lang w:val="es-ES" w:eastAsia="es-MX"/>
        </w:rPr>
        <w:tab/>
      </w:r>
      <w:r w:rsidRPr="0075055F">
        <w:rPr>
          <w:rFonts w:ascii="Arial" w:eastAsia="Times New Roman" w:hAnsi="Arial" w:cs="Arial"/>
          <w:bCs/>
          <w:color w:val="000000"/>
          <w:sz w:val="22"/>
          <w:szCs w:val="22"/>
          <w:lang w:val="es-ES" w:eastAsia="es-MX"/>
        </w:rPr>
        <w:t>Colegio de Estudios Científicos y Tecnológicos del Estado de Oaxaca</w:t>
      </w:r>
    </w:p>
    <w:p w14:paraId="4D7C1B5E"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w:t>
      </w:r>
      <w:r w:rsidRPr="0075055F">
        <w:rPr>
          <w:rFonts w:ascii="Arial" w:eastAsia="Times New Roman" w:hAnsi="Arial" w:cs="Arial"/>
          <w:bCs/>
          <w:color w:val="000000"/>
          <w:sz w:val="22"/>
          <w:szCs w:val="22"/>
          <w:lang w:val="es-ES" w:eastAsia="es-MX"/>
        </w:rPr>
        <w:tab/>
        <w:t>Dirección General del Hangar Oficial del Gob</w:t>
      </w:r>
      <w:r>
        <w:rPr>
          <w:rFonts w:ascii="Arial" w:eastAsia="Times New Roman" w:hAnsi="Arial" w:cs="Arial"/>
          <w:bCs/>
          <w:color w:val="000000"/>
          <w:sz w:val="22"/>
          <w:szCs w:val="22"/>
          <w:lang w:val="es-ES" w:eastAsia="es-MX"/>
        </w:rPr>
        <w:t>ie</w:t>
      </w:r>
      <w:r w:rsidRPr="0075055F">
        <w:rPr>
          <w:rFonts w:ascii="Arial" w:eastAsia="Times New Roman" w:hAnsi="Arial" w:cs="Arial"/>
          <w:bCs/>
          <w:color w:val="000000"/>
          <w:sz w:val="22"/>
          <w:szCs w:val="22"/>
          <w:lang w:val="es-ES" w:eastAsia="es-MX"/>
        </w:rPr>
        <w:t>rno del Estado de Oaxaca</w:t>
      </w:r>
    </w:p>
    <w:p w14:paraId="2D32CAD4"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w:t>
      </w:r>
      <w:r w:rsidRPr="0075055F">
        <w:rPr>
          <w:rFonts w:ascii="Arial" w:eastAsia="Times New Roman" w:hAnsi="Arial" w:cs="Arial"/>
          <w:bCs/>
          <w:color w:val="000000"/>
          <w:sz w:val="22"/>
          <w:szCs w:val="22"/>
          <w:lang w:val="es-ES" w:eastAsia="es-MX"/>
        </w:rPr>
        <w:tab/>
        <w:t>Colegio Superior para la Educación Integral Intercultural de Oaxaca</w:t>
      </w:r>
    </w:p>
    <w:p w14:paraId="109BED27"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4</w:t>
      </w:r>
      <w:r w:rsidRPr="0075055F">
        <w:rPr>
          <w:rFonts w:ascii="Arial" w:eastAsia="Times New Roman" w:hAnsi="Arial" w:cs="Arial"/>
          <w:bCs/>
          <w:color w:val="000000"/>
          <w:sz w:val="22"/>
          <w:szCs w:val="22"/>
          <w:lang w:val="es-ES" w:eastAsia="es-MX"/>
        </w:rPr>
        <w:tab/>
        <w:t>Defensoría Pública del Estado de Oaxaca</w:t>
      </w:r>
    </w:p>
    <w:p w14:paraId="48E5A53E"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5</w:t>
      </w:r>
      <w:r w:rsidRPr="0075055F">
        <w:rPr>
          <w:rFonts w:ascii="Arial" w:eastAsia="Times New Roman" w:hAnsi="Arial" w:cs="Arial"/>
          <w:bCs/>
          <w:color w:val="000000"/>
          <w:sz w:val="22"/>
          <w:szCs w:val="22"/>
          <w:lang w:val="es-ES" w:eastAsia="es-MX"/>
        </w:rPr>
        <w:tab/>
        <w:t>Instituto Catastral del Estado de Oaxaca</w:t>
      </w:r>
    </w:p>
    <w:p w14:paraId="2D011E95"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6</w:t>
      </w:r>
      <w:r w:rsidRPr="0075055F">
        <w:rPr>
          <w:rFonts w:ascii="Arial" w:eastAsia="Times New Roman" w:hAnsi="Arial" w:cs="Arial"/>
          <w:bCs/>
          <w:color w:val="000000"/>
          <w:sz w:val="22"/>
          <w:szCs w:val="22"/>
          <w:lang w:val="es-ES" w:eastAsia="es-MX"/>
        </w:rPr>
        <w:tab/>
        <w:t>Universidad de la Sierra Juárez</w:t>
      </w:r>
    </w:p>
    <w:p w14:paraId="1EFEF28D"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7</w:t>
      </w:r>
      <w:r w:rsidRPr="0075055F">
        <w:rPr>
          <w:rFonts w:ascii="Arial" w:eastAsia="Times New Roman" w:hAnsi="Arial" w:cs="Arial"/>
          <w:bCs/>
          <w:color w:val="000000"/>
          <w:sz w:val="22"/>
          <w:szCs w:val="22"/>
          <w:lang w:val="es-ES" w:eastAsia="es-MX"/>
        </w:rPr>
        <w:tab/>
        <w:t>Tribunal Electoral del Estado de Oaxaca</w:t>
      </w:r>
    </w:p>
    <w:p w14:paraId="35ABDC72"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8</w:t>
      </w:r>
      <w:r w:rsidRPr="0075055F">
        <w:rPr>
          <w:rFonts w:ascii="Arial" w:eastAsia="Times New Roman" w:hAnsi="Arial" w:cs="Arial"/>
          <w:bCs/>
          <w:color w:val="000000"/>
          <w:sz w:val="22"/>
          <w:szCs w:val="22"/>
          <w:lang w:val="es-ES" w:eastAsia="es-MX"/>
        </w:rPr>
        <w:tab/>
        <w:t>Secretaría de Fomento Agroalimentario y Desarrollo Rural</w:t>
      </w:r>
    </w:p>
    <w:p w14:paraId="1D34D75C"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9</w:t>
      </w:r>
      <w:r w:rsidRPr="0075055F">
        <w:rPr>
          <w:rFonts w:ascii="Arial" w:eastAsia="Times New Roman" w:hAnsi="Arial" w:cs="Arial"/>
          <w:bCs/>
          <w:color w:val="000000"/>
          <w:sz w:val="22"/>
          <w:szCs w:val="22"/>
          <w:lang w:val="es-ES" w:eastAsia="es-MX"/>
        </w:rPr>
        <w:tab/>
        <w:t>Instituto del Patrimonio Cultural del Estado de Oaxaca</w:t>
      </w:r>
    </w:p>
    <w:p w14:paraId="0F36A503"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10</w:t>
      </w:r>
      <w:r w:rsidRPr="0075055F">
        <w:rPr>
          <w:rFonts w:ascii="Arial" w:eastAsia="Times New Roman" w:hAnsi="Arial" w:cs="Arial"/>
          <w:bCs/>
          <w:color w:val="000000"/>
          <w:sz w:val="22"/>
          <w:szCs w:val="22"/>
          <w:lang w:val="es-ES" w:eastAsia="es-MX"/>
        </w:rPr>
        <w:tab/>
        <w:t>Sistema Integral de la familia del Estado de Oaxaca</w:t>
      </w:r>
    </w:p>
    <w:p w14:paraId="3E652D98"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11</w:t>
      </w:r>
      <w:r w:rsidRPr="0075055F">
        <w:rPr>
          <w:rFonts w:ascii="Arial" w:eastAsia="Times New Roman" w:hAnsi="Arial" w:cs="Arial"/>
          <w:bCs/>
          <w:color w:val="000000"/>
          <w:sz w:val="22"/>
          <w:szCs w:val="22"/>
          <w:lang w:val="es-ES" w:eastAsia="es-MX"/>
        </w:rPr>
        <w:tab/>
        <w:t>Secretaria de Honestidad, Transparencia y Función Pública</w:t>
      </w:r>
    </w:p>
    <w:p w14:paraId="4A930153"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12</w:t>
      </w:r>
      <w:r w:rsidRPr="0075055F">
        <w:rPr>
          <w:rFonts w:ascii="Arial" w:eastAsia="Times New Roman" w:hAnsi="Arial" w:cs="Arial"/>
          <w:bCs/>
          <w:color w:val="000000"/>
          <w:sz w:val="22"/>
          <w:szCs w:val="22"/>
          <w:lang w:val="es-ES" w:eastAsia="es-MX"/>
        </w:rPr>
        <w:tab/>
        <w:t>Fiscalía General del Estado de Oaxaca</w:t>
      </w:r>
    </w:p>
    <w:p w14:paraId="04A6B695"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13</w:t>
      </w:r>
      <w:r w:rsidRPr="0075055F">
        <w:rPr>
          <w:rFonts w:ascii="Arial" w:eastAsia="Times New Roman" w:hAnsi="Arial" w:cs="Arial"/>
          <w:bCs/>
          <w:color w:val="000000"/>
          <w:sz w:val="22"/>
          <w:szCs w:val="22"/>
          <w:lang w:val="es-ES" w:eastAsia="es-MX"/>
        </w:rPr>
        <w:tab/>
        <w:t>Secretaría de Movilidad</w:t>
      </w:r>
    </w:p>
    <w:p w14:paraId="0AB7150D"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14</w:t>
      </w:r>
      <w:r w:rsidRPr="0075055F">
        <w:rPr>
          <w:rFonts w:ascii="Arial" w:eastAsia="Times New Roman" w:hAnsi="Arial" w:cs="Arial"/>
          <w:bCs/>
          <w:color w:val="000000"/>
          <w:sz w:val="22"/>
          <w:szCs w:val="22"/>
          <w:lang w:val="es-ES" w:eastAsia="es-MX"/>
        </w:rPr>
        <w:tab/>
        <w:t>Municipio de Huajuapan de León</w:t>
      </w:r>
    </w:p>
    <w:p w14:paraId="2CAF3990"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15</w:t>
      </w:r>
      <w:r w:rsidRPr="0075055F">
        <w:rPr>
          <w:rFonts w:ascii="Arial" w:eastAsia="Times New Roman" w:hAnsi="Arial" w:cs="Arial"/>
          <w:bCs/>
          <w:color w:val="000000"/>
          <w:sz w:val="22"/>
          <w:szCs w:val="22"/>
          <w:lang w:val="es-ES" w:eastAsia="es-MX"/>
        </w:rPr>
        <w:tab/>
        <w:t>Monte de Piedad</w:t>
      </w:r>
    </w:p>
    <w:p w14:paraId="594018BC"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16</w:t>
      </w:r>
      <w:r w:rsidRPr="0075055F">
        <w:rPr>
          <w:rFonts w:ascii="Arial" w:eastAsia="Times New Roman" w:hAnsi="Arial" w:cs="Arial"/>
          <w:bCs/>
          <w:color w:val="000000"/>
          <w:sz w:val="22"/>
          <w:szCs w:val="22"/>
          <w:lang w:val="es-ES" w:eastAsia="es-MX"/>
        </w:rPr>
        <w:tab/>
        <w:t>Sistema de Transporte Colectivo Metropolitano CITYBUS Oaxaca</w:t>
      </w:r>
    </w:p>
    <w:p w14:paraId="0B01D2D2"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17</w:t>
      </w:r>
      <w:r w:rsidRPr="0075055F">
        <w:rPr>
          <w:rFonts w:ascii="Arial" w:eastAsia="Times New Roman" w:hAnsi="Arial" w:cs="Arial"/>
          <w:bCs/>
          <w:color w:val="000000"/>
          <w:sz w:val="22"/>
          <w:szCs w:val="22"/>
          <w:lang w:val="es-ES" w:eastAsia="es-MX"/>
        </w:rPr>
        <w:tab/>
        <w:t>Universidad Autónoma Comunal de Oaxaca</w:t>
      </w:r>
    </w:p>
    <w:p w14:paraId="600172B1" w14:textId="77777777" w:rsidR="00FD221E" w:rsidRPr="0075055F" w:rsidRDefault="00FD221E" w:rsidP="00FD221E">
      <w:pPr>
        <w:spacing w:after="160" w:line="360" w:lineRule="auto"/>
        <w:ind w:left="705" w:hanging="705"/>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18</w:t>
      </w:r>
      <w:r w:rsidRPr="0075055F">
        <w:rPr>
          <w:rFonts w:ascii="Arial" w:eastAsia="Times New Roman" w:hAnsi="Arial" w:cs="Arial"/>
          <w:bCs/>
          <w:color w:val="000000"/>
          <w:sz w:val="22"/>
          <w:szCs w:val="22"/>
          <w:lang w:val="es-ES" w:eastAsia="es-MX"/>
        </w:rPr>
        <w:tab/>
        <w:t>Secretaría Ejecutiva del Sistema Local de Protección Integral de los Derechos de</w:t>
      </w:r>
      <w:r>
        <w:rPr>
          <w:rFonts w:ascii="Arial" w:eastAsia="Times New Roman" w:hAnsi="Arial" w:cs="Arial"/>
          <w:bCs/>
          <w:color w:val="000000"/>
          <w:sz w:val="22"/>
          <w:szCs w:val="22"/>
          <w:lang w:val="es-ES" w:eastAsia="es-MX"/>
        </w:rPr>
        <w:t xml:space="preserve"> </w:t>
      </w:r>
      <w:r w:rsidRPr="0075055F">
        <w:rPr>
          <w:rFonts w:ascii="Arial" w:eastAsia="Times New Roman" w:hAnsi="Arial" w:cs="Arial"/>
          <w:bCs/>
          <w:color w:val="000000"/>
          <w:sz w:val="22"/>
          <w:szCs w:val="22"/>
          <w:lang w:val="es-ES" w:eastAsia="es-MX"/>
        </w:rPr>
        <w:t>Niñas, Niños y Adolescentes del Estado de Oaxaca</w:t>
      </w:r>
    </w:p>
    <w:p w14:paraId="3299D72E"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19</w:t>
      </w:r>
      <w:r w:rsidRPr="0075055F">
        <w:rPr>
          <w:rFonts w:ascii="Arial" w:eastAsia="Times New Roman" w:hAnsi="Arial" w:cs="Arial"/>
          <w:bCs/>
          <w:color w:val="000000"/>
          <w:sz w:val="22"/>
          <w:szCs w:val="22"/>
          <w:lang w:val="es-ES" w:eastAsia="es-MX"/>
        </w:rPr>
        <w:tab/>
        <w:t xml:space="preserve">Secretaría de Finanzas </w:t>
      </w:r>
    </w:p>
    <w:p w14:paraId="52E0C23F"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20</w:t>
      </w:r>
      <w:r w:rsidRPr="0075055F">
        <w:rPr>
          <w:rFonts w:ascii="Arial" w:eastAsia="Times New Roman" w:hAnsi="Arial" w:cs="Arial"/>
          <w:bCs/>
          <w:color w:val="000000"/>
          <w:sz w:val="22"/>
          <w:szCs w:val="22"/>
          <w:lang w:val="es-ES" w:eastAsia="es-MX"/>
        </w:rPr>
        <w:tab/>
        <w:t>Secretaría de las Mujeres</w:t>
      </w:r>
    </w:p>
    <w:p w14:paraId="1388D01E"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21</w:t>
      </w:r>
      <w:r w:rsidRPr="0075055F">
        <w:rPr>
          <w:rFonts w:ascii="Arial" w:eastAsia="Times New Roman" w:hAnsi="Arial" w:cs="Arial"/>
          <w:bCs/>
          <w:color w:val="000000"/>
          <w:sz w:val="22"/>
          <w:szCs w:val="22"/>
          <w:lang w:val="es-ES" w:eastAsia="es-MX"/>
        </w:rPr>
        <w:tab/>
        <w:t>Secretaría de Gobierno del Estado de Oaxaca</w:t>
      </w:r>
    </w:p>
    <w:p w14:paraId="02A4D197"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22</w:t>
      </w:r>
      <w:r w:rsidRPr="0075055F">
        <w:rPr>
          <w:rFonts w:ascii="Arial" w:eastAsia="Times New Roman" w:hAnsi="Arial" w:cs="Arial"/>
          <w:bCs/>
          <w:color w:val="000000"/>
          <w:sz w:val="22"/>
          <w:szCs w:val="22"/>
          <w:lang w:val="es-ES" w:eastAsia="es-MX"/>
        </w:rPr>
        <w:tab/>
        <w:t>Coordinación para la Atención de los Derechos Humanos</w:t>
      </w:r>
    </w:p>
    <w:p w14:paraId="0809344C"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23</w:t>
      </w:r>
      <w:r w:rsidRPr="0075055F">
        <w:rPr>
          <w:rFonts w:ascii="Arial" w:eastAsia="Times New Roman" w:hAnsi="Arial" w:cs="Arial"/>
          <w:bCs/>
          <w:color w:val="000000"/>
          <w:sz w:val="22"/>
          <w:szCs w:val="22"/>
          <w:lang w:val="es-ES" w:eastAsia="es-MX"/>
        </w:rPr>
        <w:tab/>
        <w:t>Universidad de la Costa</w:t>
      </w:r>
    </w:p>
    <w:p w14:paraId="6428020E"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24</w:t>
      </w:r>
      <w:r w:rsidRPr="0075055F">
        <w:rPr>
          <w:rFonts w:ascii="Arial" w:eastAsia="Times New Roman" w:hAnsi="Arial" w:cs="Arial"/>
          <w:bCs/>
          <w:color w:val="000000"/>
          <w:sz w:val="22"/>
          <w:szCs w:val="22"/>
          <w:lang w:val="es-ES" w:eastAsia="es-MX"/>
        </w:rPr>
        <w:tab/>
        <w:t xml:space="preserve">Junta Local de Conciliación y Arbitraje </w:t>
      </w:r>
    </w:p>
    <w:p w14:paraId="6DE3B7A1"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25</w:t>
      </w:r>
      <w:r w:rsidRPr="0075055F">
        <w:rPr>
          <w:rFonts w:ascii="Arial" w:eastAsia="Times New Roman" w:hAnsi="Arial" w:cs="Arial"/>
          <w:bCs/>
          <w:color w:val="000000"/>
          <w:sz w:val="22"/>
          <w:szCs w:val="22"/>
          <w:lang w:val="es-ES" w:eastAsia="es-MX"/>
        </w:rPr>
        <w:tab/>
        <w:t>Tribunal de Justicia Administrativa y Combate a la Corrupción del Estado de Oaxaca</w:t>
      </w:r>
    </w:p>
    <w:p w14:paraId="54088343" w14:textId="77777777" w:rsidR="00FD221E" w:rsidRPr="0075055F" w:rsidRDefault="00FD221E" w:rsidP="00FD221E">
      <w:pPr>
        <w:spacing w:after="160" w:line="360" w:lineRule="auto"/>
        <w:ind w:left="705" w:hanging="705"/>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26</w:t>
      </w:r>
      <w:r w:rsidRPr="0075055F">
        <w:rPr>
          <w:rFonts w:ascii="Arial" w:eastAsia="Times New Roman" w:hAnsi="Arial" w:cs="Arial"/>
          <w:bCs/>
          <w:color w:val="000000"/>
          <w:sz w:val="22"/>
          <w:szCs w:val="22"/>
          <w:lang w:val="es-ES" w:eastAsia="es-MX"/>
        </w:rPr>
        <w:tab/>
        <w:t>Órgano Garante de Acceso a  la Información Pública, Transparencia, Protección de</w:t>
      </w:r>
      <w:r>
        <w:rPr>
          <w:rFonts w:ascii="Arial" w:eastAsia="Times New Roman" w:hAnsi="Arial" w:cs="Arial"/>
          <w:bCs/>
          <w:color w:val="000000"/>
          <w:sz w:val="22"/>
          <w:szCs w:val="22"/>
          <w:lang w:val="es-ES" w:eastAsia="es-MX"/>
        </w:rPr>
        <w:t xml:space="preserve"> </w:t>
      </w:r>
      <w:r w:rsidRPr="0075055F">
        <w:rPr>
          <w:rFonts w:ascii="Arial" w:eastAsia="Times New Roman" w:hAnsi="Arial" w:cs="Arial"/>
          <w:bCs/>
          <w:color w:val="000000"/>
          <w:sz w:val="22"/>
          <w:szCs w:val="22"/>
          <w:lang w:val="es-ES" w:eastAsia="es-MX"/>
        </w:rPr>
        <w:t xml:space="preserve">Datos Personales y Buen Gobierno del Estado de Oaxaca </w:t>
      </w:r>
    </w:p>
    <w:p w14:paraId="65A09135"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27</w:t>
      </w:r>
      <w:r w:rsidRPr="0075055F">
        <w:rPr>
          <w:rFonts w:ascii="Arial" w:eastAsia="Times New Roman" w:hAnsi="Arial" w:cs="Arial"/>
          <w:bCs/>
          <w:color w:val="000000"/>
          <w:sz w:val="22"/>
          <w:szCs w:val="22"/>
          <w:lang w:val="es-ES" w:eastAsia="es-MX"/>
        </w:rPr>
        <w:tab/>
        <w:t>H. Ayuntamiento de Salina Cruz, Oaxaca</w:t>
      </w:r>
    </w:p>
    <w:p w14:paraId="5BEF7F5C"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28</w:t>
      </w:r>
      <w:r w:rsidRPr="0075055F">
        <w:rPr>
          <w:rFonts w:ascii="Arial" w:eastAsia="Times New Roman" w:hAnsi="Arial" w:cs="Arial"/>
          <w:bCs/>
          <w:color w:val="000000"/>
          <w:sz w:val="22"/>
          <w:szCs w:val="22"/>
          <w:lang w:val="es-ES" w:eastAsia="es-MX"/>
        </w:rPr>
        <w:tab/>
        <w:t>Tribunal Superior de Justicia del Estado</w:t>
      </w:r>
    </w:p>
    <w:p w14:paraId="0DF5D5D9"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29</w:t>
      </w:r>
      <w:r w:rsidRPr="0075055F">
        <w:rPr>
          <w:rFonts w:ascii="Arial" w:eastAsia="Times New Roman" w:hAnsi="Arial" w:cs="Arial"/>
          <w:bCs/>
          <w:color w:val="000000"/>
          <w:sz w:val="22"/>
          <w:szCs w:val="22"/>
          <w:lang w:val="es-ES" w:eastAsia="es-MX"/>
        </w:rPr>
        <w:tab/>
        <w:t>Consejo Estatal para la Prevención y control del SIDA</w:t>
      </w:r>
    </w:p>
    <w:p w14:paraId="2B19AF1D"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30</w:t>
      </w:r>
      <w:r w:rsidRPr="0075055F">
        <w:rPr>
          <w:rFonts w:ascii="Arial" w:eastAsia="Times New Roman" w:hAnsi="Arial" w:cs="Arial"/>
          <w:bCs/>
          <w:color w:val="000000"/>
          <w:sz w:val="22"/>
          <w:szCs w:val="22"/>
          <w:lang w:val="es-ES" w:eastAsia="es-MX"/>
        </w:rPr>
        <w:tab/>
        <w:t>Universidad Autónoma Benito Juárez de Oaxaca</w:t>
      </w:r>
    </w:p>
    <w:p w14:paraId="135FB7BE"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31</w:t>
      </w:r>
      <w:r w:rsidRPr="0075055F">
        <w:rPr>
          <w:rFonts w:ascii="Arial" w:eastAsia="Times New Roman" w:hAnsi="Arial" w:cs="Arial"/>
          <w:bCs/>
          <w:color w:val="000000"/>
          <w:sz w:val="22"/>
          <w:szCs w:val="22"/>
          <w:lang w:val="es-ES" w:eastAsia="es-MX"/>
        </w:rPr>
        <w:tab/>
        <w:t>Universidad de Chalcatongo</w:t>
      </w:r>
      <w:r w:rsidRPr="0075055F">
        <w:rPr>
          <w:rFonts w:ascii="Arial" w:eastAsia="Times New Roman" w:hAnsi="Arial" w:cs="Arial"/>
          <w:bCs/>
          <w:color w:val="000000"/>
          <w:sz w:val="22"/>
          <w:szCs w:val="22"/>
          <w:lang w:val="es-ES" w:eastAsia="es-MX"/>
        </w:rPr>
        <w:tab/>
      </w:r>
    </w:p>
    <w:p w14:paraId="5A189D15"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32</w:t>
      </w:r>
      <w:r w:rsidRPr="0075055F">
        <w:rPr>
          <w:rFonts w:ascii="Arial" w:eastAsia="Times New Roman" w:hAnsi="Arial" w:cs="Arial"/>
          <w:bCs/>
          <w:color w:val="000000"/>
          <w:sz w:val="22"/>
          <w:szCs w:val="22"/>
          <w:lang w:val="es-ES" w:eastAsia="es-MX"/>
        </w:rPr>
        <w:tab/>
        <w:t>Consejo Oaxaqueño de Ciencia, Tecnología e Innovación</w:t>
      </w:r>
    </w:p>
    <w:p w14:paraId="7D4F1D25"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33</w:t>
      </w:r>
      <w:r w:rsidRPr="0075055F">
        <w:rPr>
          <w:rFonts w:ascii="Arial" w:eastAsia="Times New Roman" w:hAnsi="Arial" w:cs="Arial"/>
          <w:bCs/>
          <w:color w:val="000000"/>
          <w:sz w:val="22"/>
          <w:szCs w:val="22"/>
          <w:lang w:val="es-ES" w:eastAsia="es-MX"/>
        </w:rPr>
        <w:tab/>
        <w:t>Universidad Tecnológica de la Mixteca</w:t>
      </w:r>
    </w:p>
    <w:p w14:paraId="5F1E1192"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34</w:t>
      </w:r>
      <w:r w:rsidRPr="0075055F">
        <w:rPr>
          <w:rFonts w:ascii="Arial" w:eastAsia="Times New Roman" w:hAnsi="Arial" w:cs="Arial"/>
          <w:bCs/>
          <w:color w:val="000000"/>
          <w:sz w:val="22"/>
          <w:szCs w:val="22"/>
          <w:lang w:val="es-ES" w:eastAsia="es-MX"/>
        </w:rPr>
        <w:tab/>
        <w:t>Partido del Trabajo</w:t>
      </w:r>
    </w:p>
    <w:p w14:paraId="1F94F511"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35</w:t>
      </w:r>
      <w:r w:rsidRPr="0075055F">
        <w:rPr>
          <w:rFonts w:ascii="Arial" w:eastAsia="Times New Roman" w:hAnsi="Arial" w:cs="Arial"/>
          <w:bCs/>
          <w:color w:val="000000"/>
          <w:sz w:val="22"/>
          <w:szCs w:val="22"/>
          <w:lang w:val="es-ES" w:eastAsia="es-MX"/>
        </w:rPr>
        <w:tab/>
        <w:t>Universidad del Papaloapan</w:t>
      </w:r>
    </w:p>
    <w:p w14:paraId="308A5DA6"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36</w:t>
      </w:r>
      <w:r w:rsidRPr="0075055F">
        <w:rPr>
          <w:rFonts w:ascii="Arial" w:eastAsia="Times New Roman" w:hAnsi="Arial" w:cs="Arial"/>
          <w:bCs/>
          <w:color w:val="000000"/>
          <w:sz w:val="22"/>
          <w:szCs w:val="22"/>
          <w:lang w:val="es-ES" w:eastAsia="es-MX"/>
        </w:rPr>
        <w:tab/>
        <w:t>Universidad Tecnológica del Valle de los Valles Centrales de Oaxaca</w:t>
      </w:r>
    </w:p>
    <w:p w14:paraId="4737864A" w14:textId="77777777" w:rsidR="00FD221E" w:rsidRPr="0075055F" w:rsidRDefault="00FD221E" w:rsidP="00FD221E">
      <w:pPr>
        <w:spacing w:after="160" w:line="360" w:lineRule="auto"/>
        <w:contextualSpacing/>
        <w:jc w:val="both"/>
        <w:rPr>
          <w:rFonts w:ascii="Arial" w:eastAsia="Times New Roman" w:hAnsi="Arial" w:cs="Arial"/>
          <w:bCs/>
          <w:color w:val="000000"/>
          <w:sz w:val="22"/>
          <w:szCs w:val="22"/>
          <w:lang w:val="es-ES" w:eastAsia="es-MX"/>
        </w:rPr>
      </w:pPr>
      <w:r w:rsidRPr="0075055F">
        <w:rPr>
          <w:rFonts w:ascii="Arial" w:eastAsia="Times New Roman" w:hAnsi="Arial" w:cs="Arial"/>
          <w:bCs/>
          <w:color w:val="000000"/>
          <w:sz w:val="22"/>
          <w:szCs w:val="22"/>
          <w:lang w:val="es-ES" w:eastAsia="es-MX"/>
        </w:rPr>
        <w:t>37</w:t>
      </w:r>
      <w:r w:rsidRPr="0075055F">
        <w:rPr>
          <w:rFonts w:ascii="Arial" w:eastAsia="Times New Roman" w:hAnsi="Arial" w:cs="Arial"/>
          <w:bCs/>
          <w:color w:val="000000"/>
          <w:sz w:val="22"/>
          <w:szCs w:val="22"/>
          <w:lang w:val="es-ES" w:eastAsia="es-MX"/>
        </w:rPr>
        <w:tab/>
        <w:t>H. Ayuntamiento de Oaxaca de Juárez</w:t>
      </w:r>
    </w:p>
    <w:p w14:paraId="3827AEAF" w14:textId="77777777" w:rsidR="00FD221E" w:rsidRDefault="00FD221E" w:rsidP="00FD221E">
      <w:pPr>
        <w:spacing w:after="160" w:line="360" w:lineRule="auto"/>
        <w:contextualSpacing/>
        <w:jc w:val="both"/>
        <w:rPr>
          <w:rFonts w:ascii="Arial" w:eastAsia="Times New Roman" w:hAnsi="Arial" w:cs="Arial"/>
          <w:b/>
          <w:color w:val="000000"/>
          <w:sz w:val="22"/>
          <w:szCs w:val="22"/>
          <w:lang w:val="es-ES" w:eastAsia="es-MX"/>
        </w:rPr>
      </w:pPr>
      <w:r w:rsidRPr="0075055F">
        <w:rPr>
          <w:rFonts w:ascii="Arial" w:eastAsia="Times New Roman" w:hAnsi="Arial" w:cs="Arial"/>
          <w:bCs/>
          <w:color w:val="000000"/>
          <w:sz w:val="22"/>
          <w:szCs w:val="22"/>
          <w:lang w:val="es-ES" w:eastAsia="es-MX"/>
        </w:rPr>
        <w:t>38</w:t>
      </w:r>
      <w:r w:rsidRPr="0075055F">
        <w:rPr>
          <w:rFonts w:ascii="Arial" w:eastAsia="Times New Roman" w:hAnsi="Arial" w:cs="Arial"/>
          <w:bCs/>
          <w:color w:val="000000"/>
          <w:sz w:val="22"/>
          <w:szCs w:val="22"/>
          <w:lang w:val="es-ES" w:eastAsia="es-MX"/>
        </w:rPr>
        <w:tab/>
        <w:t>Secretaría de Educación Pública</w:t>
      </w:r>
    </w:p>
    <w:p w14:paraId="1FED9868" w14:textId="36D40DFD" w:rsidR="00FD221E" w:rsidRPr="000E4493" w:rsidRDefault="00FD221E" w:rsidP="00FD221E">
      <w:pPr>
        <w:spacing w:line="360" w:lineRule="auto"/>
        <w:jc w:val="both"/>
        <w:rPr>
          <w:rFonts w:ascii="Arial" w:eastAsia="Arial Unicode MS" w:hAnsi="Arial" w:cs="Arial"/>
          <w:lang w:eastAsia="es-ES"/>
        </w:rPr>
      </w:pPr>
      <w:r w:rsidRPr="000E4493">
        <w:rPr>
          <w:rFonts w:ascii="Arial" w:eastAsia="Arial Unicode MS" w:hAnsi="Arial" w:cs="Arial"/>
          <w:lang w:eastAsia="es-ES"/>
        </w:rPr>
        <w:lastRenderedPageBreak/>
        <w:t xml:space="preserve">Por las razones expuestas, </w:t>
      </w:r>
      <w:r w:rsidRPr="000E4493">
        <w:rPr>
          <w:rFonts w:ascii="Arial" w:eastAsia="Arial Unicode MS" w:hAnsi="Arial" w:cs="Arial"/>
        </w:rPr>
        <w:t xml:space="preserve">con fundamento en </w:t>
      </w:r>
      <w:r w:rsidRPr="000E4493">
        <w:rPr>
          <w:rFonts w:ascii="Arial" w:eastAsia="Arial Unicode MS" w:hAnsi="Arial" w:cs="Arial"/>
          <w:color w:val="000000" w:themeColor="text1"/>
          <w:lang w:val="es-ES_tradnl"/>
        </w:rPr>
        <w:t xml:space="preserve">el artículo 16 fracción XIV del Reglamento Interno del OGAIPO, </w:t>
      </w:r>
      <w:r w:rsidRPr="000E4493">
        <w:rPr>
          <w:rFonts w:ascii="Arial" w:eastAsia="Arial Unicode MS" w:hAnsi="Arial" w:cs="Arial"/>
          <w:lang w:eastAsia="es-ES"/>
        </w:rPr>
        <w:t>la Dirección de Gobierno Abierto realiza el siguiente:</w:t>
      </w:r>
    </w:p>
    <w:p w14:paraId="78FC8467" w14:textId="77777777" w:rsidR="00FD221E" w:rsidRPr="000E4493" w:rsidRDefault="00FD221E" w:rsidP="00FD221E">
      <w:pPr>
        <w:spacing w:line="360" w:lineRule="auto"/>
        <w:jc w:val="center"/>
        <w:rPr>
          <w:rFonts w:ascii="Arial" w:eastAsia="Arial Unicode MS" w:hAnsi="Arial" w:cs="Arial"/>
          <w:b/>
        </w:rPr>
      </w:pPr>
      <w:r w:rsidRPr="000E4493">
        <w:rPr>
          <w:rFonts w:ascii="Arial" w:eastAsia="Arial Unicode MS" w:hAnsi="Arial" w:cs="Arial"/>
          <w:b/>
        </w:rPr>
        <w:t>DICTAMEN</w:t>
      </w:r>
    </w:p>
    <w:p w14:paraId="0A704D38" w14:textId="525BC6A7" w:rsidR="00FD221E" w:rsidRPr="000E4493" w:rsidRDefault="00FD221E" w:rsidP="00FD221E">
      <w:pPr>
        <w:tabs>
          <w:tab w:val="left" w:pos="851"/>
        </w:tabs>
        <w:spacing w:line="360" w:lineRule="auto"/>
        <w:jc w:val="both"/>
        <w:rPr>
          <w:rFonts w:ascii="Arial" w:eastAsia="Arial Unicode MS" w:hAnsi="Arial" w:cs="Arial"/>
        </w:rPr>
      </w:pPr>
      <w:r w:rsidRPr="000E4493">
        <w:rPr>
          <w:rFonts w:ascii="Arial" w:eastAsia="Arial Unicode MS" w:hAnsi="Arial" w:cs="Arial"/>
          <w:b/>
        </w:rPr>
        <w:t>PRIMERO</w:t>
      </w:r>
      <w:r w:rsidRPr="000E4493">
        <w:rPr>
          <w:rFonts w:ascii="Arial" w:eastAsia="Arial Unicode MS" w:hAnsi="Arial" w:cs="Arial"/>
        </w:rPr>
        <w:t xml:space="preserve">. Se dictamina como de interés público la información correspondiente a los registros contenidos en diversos listados remitidos por los Sujetos obligados por adecuarse a los supuestos normativos previstos en los </w:t>
      </w:r>
      <w:r w:rsidRPr="000E4493">
        <w:rPr>
          <w:rFonts w:ascii="Arial" w:eastAsia="Arial Unicode MS" w:hAnsi="Arial" w:cs="Arial"/>
          <w:i/>
          <w:iCs/>
          <w:color w:val="000000" w:themeColor="text1"/>
        </w:rPr>
        <w:t>Lineamientos para determinar los catálogos y publicación de información de interés público</w:t>
      </w:r>
      <w:r w:rsidRPr="000E4493">
        <w:rPr>
          <w:rFonts w:ascii="Arial" w:eastAsia="Arial Unicode MS" w:hAnsi="Arial" w:cs="Arial"/>
        </w:rPr>
        <w:t>, de conformidad con las consideraciones del presente documento y con base en el análisis contenido en el</w:t>
      </w:r>
      <w:r>
        <w:rPr>
          <w:rFonts w:ascii="Arial" w:eastAsia="Arial Unicode MS" w:hAnsi="Arial" w:cs="Arial"/>
          <w:b/>
          <w:bCs/>
        </w:rPr>
        <w:t xml:space="preserve"> </w:t>
      </w:r>
      <w:r w:rsidRPr="001660B0">
        <w:rPr>
          <w:rFonts w:ascii="Arial" w:eastAsia="Arial Unicode MS" w:hAnsi="Arial" w:cs="Arial"/>
          <w:b/>
          <w:bCs/>
        </w:rPr>
        <w:t>anexo único</w:t>
      </w:r>
      <w:r w:rsidRPr="000E4493">
        <w:rPr>
          <w:rFonts w:ascii="Arial" w:eastAsia="Arial Unicode MS" w:hAnsi="Arial" w:cs="Arial"/>
          <w:b/>
          <w:bCs/>
        </w:rPr>
        <w:t xml:space="preserve"> </w:t>
      </w:r>
      <w:r w:rsidRPr="000E4493">
        <w:rPr>
          <w:rFonts w:ascii="Arial" w:eastAsia="Arial Unicode MS" w:hAnsi="Arial" w:cs="Arial"/>
        </w:rPr>
        <w:t xml:space="preserve">(Dictaminación) del presente dictamen, cuyo catálogo integral se contiene en el mismo </w:t>
      </w:r>
      <w:r>
        <w:rPr>
          <w:rFonts w:ascii="Arial" w:eastAsia="Arial Unicode MS" w:hAnsi="Arial" w:cs="Arial"/>
        </w:rPr>
        <w:t xml:space="preserve">anexo </w:t>
      </w:r>
      <w:r w:rsidRPr="000E4493">
        <w:rPr>
          <w:rFonts w:ascii="Arial" w:eastAsia="Arial Unicode MS" w:hAnsi="Arial" w:cs="Arial"/>
        </w:rPr>
        <w:t>(Catálogo IIP 202</w:t>
      </w:r>
      <w:r>
        <w:rPr>
          <w:rFonts w:ascii="Arial" w:eastAsia="Arial Unicode MS" w:hAnsi="Arial" w:cs="Arial"/>
        </w:rPr>
        <w:t>4</w:t>
      </w:r>
      <w:r w:rsidRPr="000E4493">
        <w:rPr>
          <w:rFonts w:ascii="Arial" w:eastAsia="Arial Unicode MS" w:hAnsi="Arial" w:cs="Arial"/>
        </w:rPr>
        <w:t>).</w:t>
      </w:r>
    </w:p>
    <w:p w14:paraId="114F231B" w14:textId="77777777" w:rsidR="00FD221E" w:rsidRPr="000E4493" w:rsidRDefault="00FD221E" w:rsidP="00FD221E">
      <w:pPr>
        <w:tabs>
          <w:tab w:val="left" w:pos="851"/>
        </w:tabs>
        <w:spacing w:line="360" w:lineRule="auto"/>
        <w:jc w:val="both"/>
        <w:rPr>
          <w:rFonts w:ascii="Arial" w:eastAsia="Arial Unicode MS" w:hAnsi="Arial" w:cs="Arial"/>
          <w:bCs/>
          <w:lang w:eastAsia="es-ES"/>
        </w:rPr>
      </w:pPr>
    </w:p>
    <w:p w14:paraId="24027A68" w14:textId="403EE4AB" w:rsidR="00FD221E" w:rsidRPr="000E4493" w:rsidRDefault="00FD221E" w:rsidP="00FD221E">
      <w:pPr>
        <w:spacing w:line="360" w:lineRule="auto"/>
        <w:jc w:val="both"/>
        <w:rPr>
          <w:rFonts w:ascii="Arial" w:eastAsia="Arial Unicode MS" w:hAnsi="Arial" w:cs="Arial"/>
        </w:rPr>
      </w:pPr>
      <w:r w:rsidRPr="000E4493">
        <w:rPr>
          <w:rFonts w:ascii="Arial" w:eastAsia="Arial Unicode MS" w:hAnsi="Arial" w:cs="Arial"/>
          <w:b/>
        </w:rPr>
        <w:t>SEGUNDO.</w:t>
      </w:r>
      <w:r w:rsidRPr="000E4493">
        <w:rPr>
          <w:rFonts w:ascii="Arial" w:eastAsia="Arial Unicode MS" w:hAnsi="Arial" w:cs="Arial"/>
        </w:rPr>
        <w:t xml:space="preserve"> El presente dictamen y su </w:t>
      </w:r>
      <w:r>
        <w:rPr>
          <w:rFonts w:ascii="Arial" w:eastAsia="Arial Unicode MS" w:hAnsi="Arial" w:cs="Arial"/>
        </w:rPr>
        <w:t>anexo</w:t>
      </w:r>
      <w:r w:rsidRPr="000E4493">
        <w:rPr>
          <w:rFonts w:ascii="Arial" w:eastAsia="Arial Unicode MS" w:hAnsi="Arial" w:cs="Arial"/>
        </w:rPr>
        <w:t xml:space="preserve"> serán remitidos a la Dirección de Asuntos Jurídicos para la validación respectiva y, en su oportunidad, a la Secretaría Técnica de este Órgano Garante a efecto de ser sometido a consideración y aprobación, en su caso, por el Consejo General del OGAIP Oaxaca el </w:t>
      </w:r>
      <w:r w:rsidRPr="000E4493">
        <w:rPr>
          <w:rFonts w:ascii="Arial" w:eastAsia="Arial Unicode MS" w:hAnsi="Arial" w:cs="Arial"/>
          <w:b/>
          <w:bCs/>
        </w:rPr>
        <w:t>CATÁLOGO DE INFORMACIÓN DE INTERÉS PÚBLICO QUE DEBERÁN PUBLICAR LOS SUJETOS OBLIGADOS DEL ESTADO DE OAXACA CORRESPONDIENTE AL EJERCICIO 202</w:t>
      </w:r>
      <w:r>
        <w:rPr>
          <w:rFonts w:ascii="Arial" w:eastAsia="Arial Unicode MS" w:hAnsi="Arial" w:cs="Arial"/>
          <w:b/>
          <w:bCs/>
        </w:rPr>
        <w:t>4</w:t>
      </w:r>
      <w:r w:rsidRPr="000E4493">
        <w:rPr>
          <w:rFonts w:ascii="Arial" w:eastAsia="Arial Unicode MS" w:hAnsi="Arial" w:cs="Arial"/>
        </w:rPr>
        <w:t>, en términos de los Lineamientos correspondientes.</w:t>
      </w:r>
    </w:p>
    <w:p w14:paraId="0E1EB915" w14:textId="77777777" w:rsidR="00FD221E" w:rsidRPr="00A60BFD" w:rsidRDefault="00FD221E" w:rsidP="00FD221E">
      <w:pPr>
        <w:spacing w:line="360" w:lineRule="auto"/>
        <w:rPr>
          <w:rFonts w:ascii="Arial" w:eastAsia="Arial Unicode MS" w:hAnsi="Arial" w:cs="Arial"/>
          <w:b/>
          <w:highlight w:val="yellow"/>
        </w:rPr>
      </w:pPr>
    </w:p>
    <w:p w14:paraId="4BAF112D" w14:textId="77777777" w:rsidR="00FD221E" w:rsidRPr="002C414D" w:rsidRDefault="00FD221E" w:rsidP="00FD221E">
      <w:pPr>
        <w:spacing w:line="360" w:lineRule="auto"/>
        <w:rPr>
          <w:rFonts w:ascii="Arial" w:eastAsia="Arial Unicode MS" w:hAnsi="Arial" w:cs="Arial"/>
          <w:b/>
        </w:rPr>
      </w:pPr>
    </w:p>
    <w:p w14:paraId="1632CE2E" w14:textId="77777777" w:rsidR="00FD221E" w:rsidRDefault="00FD221E" w:rsidP="00FD221E">
      <w:pPr>
        <w:spacing w:line="360" w:lineRule="auto"/>
        <w:jc w:val="center"/>
        <w:rPr>
          <w:rFonts w:ascii="Arial" w:eastAsia="Arial Unicode MS" w:hAnsi="Arial" w:cs="Arial"/>
          <w:b/>
        </w:rPr>
      </w:pPr>
      <w:r w:rsidRPr="002C414D">
        <w:rPr>
          <w:rFonts w:ascii="Arial" w:eastAsia="Arial Unicode MS" w:hAnsi="Arial" w:cs="Arial"/>
          <w:b/>
        </w:rPr>
        <w:t xml:space="preserve">C. </w:t>
      </w:r>
      <w:r>
        <w:rPr>
          <w:rFonts w:ascii="Arial" w:eastAsia="Arial Unicode MS" w:hAnsi="Arial" w:cs="Arial"/>
          <w:b/>
        </w:rPr>
        <w:t>MAURICIO SALINAS SALINAS</w:t>
      </w:r>
    </w:p>
    <w:p w14:paraId="361C8497" w14:textId="77777777" w:rsidR="00FD221E" w:rsidRDefault="00FD221E" w:rsidP="00FD221E">
      <w:pPr>
        <w:spacing w:line="360" w:lineRule="auto"/>
        <w:jc w:val="center"/>
        <w:rPr>
          <w:rFonts w:ascii="Arial" w:eastAsia="Arial Unicode MS" w:hAnsi="Arial" w:cs="Arial"/>
          <w:b/>
        </w:rPr>
      </w:pPr>
    </w:p>
    <w:p w14:paraId="7F177270" w14:textId="77777777" w:rsidR="00FD221E" w:rsidRPr="002C414D" w:rsidRDefault="00FD221E" w:rsidP="00FD221E">
      <w:pPr>
        <w:spacing w:line="360" w:lineRule="auto"/>
        <w:rPr>
          <w:rFonts w:ascii="Arial" w:eastAsia="Arial Unicode MS" w:hAnsi="Arial" w:cs="Arial"/>
          <w:b/>
        </w:rPr>
      </w:pPr>
    </w:p>
    <w:p w14:paraId="418E2DDF" w14:textId="77777777" w:rsidR="00FD221E" w:rsidRPr="00107717" w:rsidRDefault="00FD221E" w:rsidP="00FD221E">
      <w:pPr>
        <w:spacing w:line="360" w:lineRule="auto"/>
        <w:jc w:val="center"/>
        <w:rPr>
          <w:rFonts w:ascii="Arial" w:eastAsia="Arial Unicode MS" w:hAnsi="Arial" w:cs="Arial"/>
          <w:b/>
        </w:rPr>
      </w:pPr>
      <w:r w:rsidRPr="002C414D">
        <w:rPr>
          <w:rFonts w:ascii="Arial" w:eastAsia="Arial Unicode MS" w:hAnsi="Arial" w:cs="Arial"/>
          <w:b/>
        </w:rPr>
        <w:t>DIRECTOR DE GOBIERNO ABIERTO</w:t>
      </w:r>
      <w:r>
        <w:rPr>
          <w:rFonts w:ascii="Arial" w:eastAsia="Arial Unicode MS" w:hAnsi="Arial" w:cs="Arial"/>
          <w:b/>
        </w:rPr>
        <w:t xml:space="preserve"> </w:t>
      </w:r>
    </w:p>
    <w:p w14:paraId="06828F2B" w14:textId="77777777" w:rsidR="00FD221E" w:rsidRDefault="00FD221E" w:rsidP="00FD221E">
      <w:pPr>
        <w:spacing w:line="360" w:lineRule="auto"/>
        <w:jc w:val="right"/>
        <w:rPr>
          <w:rFonts w:ascii="Arial" w:eastAsia="Arial Unicode MS" w:hAnsi="Arial" w:cs="Arial"/>
          <w:bCs/>
        </w:rPr>
      </w:pPr>
    </w:p>
    <w:p w14:paraId="59BB1F37" w14:textId="77777777" w:rsidR="00FD221E" w:rsidRDefault="00FD221E" w:rsidP="00FD221E">
      <w:pPr>
        <w:spacing w:line="360" w:lineRule="auto"/>
        <w:jc w:val="right"/>
        <w:rPr>
          <w:rFonts w:ascii="Arial" w:eastAsia="Arial Unicode MS" w:hAnsi="Arial" w:cs="Arial"/>
          <w:bCs/>
          <w:highlight w:val="yellow"/>
        </w:rPr>
      </w:pPr>
    </w:p>
    <w:p w14:paraId="01986961" w14:textId="1F71090A" w:rsidR="00150315" w:rsidRPr="00FD221E" w:rsidRDefault="00FD221E" w:rsidP="00FD221E">
      <w:pPr>
        <w:shd w:val="clear" w:color="auto" w:fill="FFFFFF" w:themeFill="background1"/>
        <w:spacing w:line="360" w:lineRule="auto"/>
        <w:jc w:val="center"/>
      </w:pPr>
      <w:r w:rsidRPr="00D2270E">
        <w:rPr>
          <w:rFonts w:ascii="Arial" w:eastAsia="Arial Unicode MS" w:hAnsi="Arial" w:cs="Arial"/>
          <w:bCs/>
        </w:rPr>
        <w:t xml:space="preserve">Oaxaca de Juárez, Oaxaca, </w:t>
      </w:r>
      <w:r w:rsidRPr="00306A0C">
        <w:rPr>
          <w:rFonts w:ascii="Arial" w:eastAsia="Arial Unicode MS" w:hAnsi="Arial" w:cs="Arial"/>
          <w:b/>
        </w:rPr>
        <w:t xml:space="preserve">a </w:t>
      </w:r>
      <w:r>
        <w:rPr>
          <w:rFonts w:ascii="Arial" w:eastAsia="Arial Unicode MS" w:hAnsi="Arial" w:cs="Arial"/>
          <w:b/>
        </w:rPr>
        <w:t>tres</w:t>
      </w:r>
      <w:r w:rsidRPr="00306A0C">
        <w:rPr>
          <w:rFonts w:ascii="Arial" w:eastAsia="Arial Unicode MS" w:hAnsi="Arial" w:cs="Arial"/>
          <w:b/>
        </w:rPr>
        <w:t xml:space="preserve"> de marzo de dos mil veinti</w:t>
      </w:r>
      <w:r>
        <w:rPr>
          <w:rFonts w:ascii="Arial" w:eastAsia="Arial Unicode MS" w:hAnsi="Arial" w:cs="Arial"/>
          <w:b/>
        </w:rPr>
        <w:t>cinco</w:t>
      </w:r>
      <w:r w:rsidRPr="00D2270E">
        <w:rPr>
          <w:rFonts w:ascii="Arial" w:eastAsia="Arial Unicode MS" w:hAnsi="Arial" w:cs="Arial"/>
          <w:bCs/>
        </w:rPr>
        <w:t>.</w:t>
      </w:r>
    </w:p>
    <w:sectPr w:rsidR="00150315" w:rsidRPr="00FD221E" w:rsidSect="00496B6A">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3F9B" w14:textId="77777777" w:rsidR="00741C4A" w:rsidRDefault="00741C4A" w:rsidP="00505074">
      <w:r>
        <w:separator/>
      </w:r>
    </w:p>
  </w:endnote>
  <w:endnote w:type="continuationSeparator" w:id="0">
    <w:p w14:paraId="085BD4B9" w14:textId="77777777" w:rsidR="00741C4A" w:rsidRDefault="00741C4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2A14" w14:textId="24169704" w:rsidR="003D3B13" w:rsidRDefault="003D3B13">
    <w:pPr>
      <w:pStyle w:val="Piedepgina"/>
    </w:pPr>
    <w:r>
      <w:rPr>
        <w:rFonts w:ascii="Open Sans" w:eastAsia="Times New Roman" w:hAnsi="Open Sans" w:cs="Open Sans"/>
        <w:noProof/>
        <w:color w:val="000000"/>
        <w:sz w:val="21"/>
        <w:szCs w:val="21"/>
        <w:lang w:eastAsia="es-MX"/>
      </w:rPr>
      <w:drawing>
        <wp:anchor distT="0" distB="0" distL="114300" distR="114300" simplePos="0" relativeHeight="251681792" behindDoc="0" locked="0" layoutInCell="1" allowOverlap="1" wp14:anchorId="057ECCC0" wp14:editId="2CDD4B57">
          <wp:simplePos x="0" y="0"/>
          <wp:positionH relativeFrom="margin">
            <wp:posOffset>2326005</wp:posOffset>
          </wp:positionH>
          <wp:positionV relativeFrom="margin">
            <wp:align>center</wp:align>
          </wp:positionV>
          <wp:extent cx="7538085" cy="1256665"/>
          <wp:effectExtent l="381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alphaModFix/>
                    <a:extLst>
                      <a:ext uri="{28A0092B-C50C-407E-A947-70E740481C1C}">
                        <a14:useLocalDpi xmlns:a14="http://schemas.microsoft.com/office/drawing/2010/main" val="0"/>
                      </a:ext>
                    </a:extLst>
                  </a:blip>
                  <a:stretch>
                    <a:fillRect/>
                  </a:stretch>
                </pic:blipFill>
                <pic:spPr>
                  <a:xfrm rot="16200000">
                    <a:off x="0" y="0"/>
                    <a:ext cx="7538085" cy="1256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A75F" w14:textId="77777777" w:rsidR="00741C4A" w:rsidRDefault="00741C4A" w:rsidP="00505074">
      <w:r>
        <w:separator/>
      </w:r>
    </w:p>
  </w:footnote>
  <w:footnote w:type="continuationSeparator" w:id="0">
    <w:p w14:paraId="11D9EC13" w14:textId="77777777" w:rsidR="00741C4A" w:rsidRDefault="00741C4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0FD85E3C" w:rsidR="00DC65C4" w:rsidRDefault="002D152B">
    <w:pPr>
      <w:pStyle w:val="Encabezado"/>
    </w:pPr>
    <w:r>
      <w:rPr>
        <w:noProof/>
      </w:rPr>
      <w:drawing>
        <wp:anchor distT="0" distB="0" distL="114300" distR="114300" simplePos="0" relativeHeight="251674624" behindDoc="0" locked="0" layoutInCell="1" allowOverlap="1" wp14:anchorId="3FE518C2" wp14:editId="7AA3E4AE">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5C97E75"/>
    <w:multiLevelType w:val="hybridMultilevel"/>
    <w:tmpl w:val="B0E00A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75E8"/>
    <w:rsid w:val="0006122D"/>
    <w:rsid w:val="00075AB7"/>
    <w:rsid w:val="00084F5B"/>
    <w:rsid w:val="000C136A"/>
    <w:rsid w:val="000F3F2C"/>
    <w:rsid w:val="00113F92"/>
    <w:rsid w:val="00150315"/>
    <w:rsid w:val="00191709"/>
    <w:rsid w:val="00196231"/>
    <w:rsid w:val="001C3A24"/>
    <w:rsid w:val="001C5977"/>
    <w:rsid w:val="001D30EE"/>
    <w:rsid w:val="001E2923"/>
    <w:rsid w:val="001F03E1"/>
    <w:rsid w:val="001F227F"/>
    <w:rsid w:val="001F527D"/>
    <w:rsid w:val="002060F1"/>
    <w:rsid w:val="00294F53"/>
    <w:rsid w:val="002A379C"/>
    <w:rsid w:val="002C54D1"/>
    <w:rsid w:val="002D0CBB"/>
    <w:rsid w:val="002D152B"/>
    <w:rsid w:val="002E3835"/>
    <w:rsid w:val="00320B59"/>
    <w:rsid w:val="0037163E"/>
    <w:rsid w:val="003D3B13"/>
    <w:rsid w:val="003F7C21"/>
    <w:rsid w:val="00450D85"/>
    <w:rsid w:val="00470889"/>
    <w:rsid w:val="00496B6A"/>
    <w:rsid w:val="00505074"/>
    <w:rsid w:val="00554ACB"/>
    <w:rsid w:val="00582E0F"/>
    <w:rsid w:val="00585998"/>
    <w:rsid w:val="00595A79"/>
    <w:rsid w:val="005A6117"/>
    <w:rsid w:val="005F6794"/>
    <w:rsid w:val="0061401C"/>
    <w:rsid w:val="006632A1"/>
    <w:rsid w:val="006647D2"/>
    <w:rsid w:val="006D1F1D"/>
    <w:rsid w:val="006E0551"/>
    <w:rsid w:val="00741C4A"/>
    <w:rsid w:val="00743BE2"/>
    <w:rsid w:val="007C36A5"/>
    <w:rsid w:val="007E2693"/>
    <w:rsid w:val="007E7E87"/>
    <w:rsid w:val="00801920"/>
    <w:rsid w:val="008E6857"/>
    <w:rsid w:val="009100C6"/>
    <w:rsid w:val="00920943"/>
    <w:rsid w:val="00927595"/>
    <w:rsid w:val="00975B18"/>
    <w:rsid w:val="009B1153"/>
    <w:rsid w:val="009E20E2"/>
    <w:rsid w:val="009E7355"/>
    <w:rsid w:val="00A16120"/>
    <w:rsid w:val="00A23492"/>
    <w:rsid w:val="00A31065"/>
    <w:rsid w:val="00A53492"/>
    <w:rsid w:val="00A56332"/>
    <w:rsid w:val="00A62C17"/>
    <w:rsid w:val="00A63E41"/>
    <w:rsid w:val="00AA1564"/>
    <w:rsid w:val="00AB76E4"/>
    <w:rsid w:val="00AD0E26"/>
    <w:rsid w:val="00BB3D18"/>
    <w:rsid w:val="00BF2833"/>
    <w:rsid w:val="00BF3440"/>
    <w:rsid w:val="00C07082"/>
    <w:rsid w:val="00C25E29"/>
    <w:rsid w:val="00C27849"/>
    <w:rsid w:val="00C335F7"/>
    <w:rsid w:val="00C567CC"/>
    <w:rsid w:val="00C76655"/>
    <w:rsid w:val="00C92C1E"/>
    <w:rsid w:val="00CB381F"/>
    <w:rsid w:val="00CB7833"/>
    <w:rsid w:val="00CC05E7"/>
    <w:rsid w:val="00CC6A7D"/>
    <w:rsid w:val="00D9608C"/>
    <w:rsid w:val="00D96B13"/>
    <w:rsid w:val="00DB561F"/>
    <w:rsid w:val="00DC0B0F"/>
    <w:rsid w:val="00DC1402"/>
    <w:rsid w:val="00DC65C4"/>
    <w:rsid w:val="00E922FA"/>
    <w:rsid w:val="00EA657D"/>
    <w:rsid w:val="00EB48BA"/>
    <w:rsid w:val="00EE48C4"/>
    <w:rsid w:val="00EE75DA"/>
    <w:rsid w:val="00F023FE"/>
    <w:rsid w:val="00F36284"/>
    <w:rsid w:val="00F5357C"/>
    <w:rsid w:val="00F56F58"/>
    <w:rsid w:val="00F6330E"/>
    <w:rsid w:val="00F854FE"/>
    <w:rsid w:val="00F95B09"/>
    <w:rsid w:val="00FB1914"/>
    <w:rsid w:val="00FD2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7E26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Textonotapie">
    <w:name w:val="footnote text"/>
    <w:basedOn w:val="Normal"/>
    <w:link w:val="TextonotapieCar"/>
    <w:uiPriority w:val="99"/>
    <w:unhideWhenUsed/>
    <w:rsid w:val="007E7E87"/>
    <w:rPr>
      <w:sz w:val="20"/>
      <w:szCs w:val="20"/>
    </w:rPr>
  </w:style>
  <w:style w:type="character" w:customStyle="1" w:styleId="TextonotapieCar">
    <w:name w:val="Texto nota pie Car"/>
    <w:basedOn w:val="Fuentedeprrafopredeter"/>
    <w:link w:val="Textonotapie"/>
    <w:uiPriority w:val="99"/>
    <w:rsid w:val="007E7E87"/>
    <w:rPr>
      <w:sz w:val="20"/>
      <w:szCs w:val="20"/>
    </w:rPr>
  </w:style>
  <w:style w:type="table" w:styleId="Tablaconcuadrcula">
    <w:name w:val="Table Grid"/>
    <w:basedOn w:val="Tablanormal"/>
    <w:uiPriority w:val="39"/>
    <w:unhideWhenUsed/>
    <w:rsid w:val="007E7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7E7E87"/>
    <w:rPr>
      <w:vertAlign w:val="superscript"/>
    </w:rPr>
  </w:style>
  <w:style w:type="character" w:styleId="Hipervnculo">
    <w:name w:val="Hyperlink"/>
    <w:basedOn w:val="Fuentedeprrafopredeter"/>
    <w:uiPriority w:val="99"/>
    <w:unhideWhenUsed/>
    <w:rsid w:val="007E7E87"/>
    <w:rPr>
      <w:color w:val="0563C1" w:themeColor="hyperlink"/>
      <w:u w:val="single"/>
    </w:rPr>
  </w:style>
  <w:style w:type="character" w:styleId="Mencinsinresolver">
    <w:name w:val="Unresolved Mention"/>
    <w:basedOn w:val="Fuentedeprrafopredeter"/>
    <w:uiPriority w:val="99"/>
    <w:semiHidden/>
    <w:unhideWhenUsed/>
    <w:rsid w:val="00A62C17"/>
    <w:rPr>
      <w:color w:val="605E5C"/>
      <w:shd w:val="clear" w:color="auto" w:fill="E1DFDD"/>
    </w:rPr>
  </w:style>
  <w:style w:type="paragraph" w:styleId="Textonotaalfinal">
    <w:name w:val="endnote text"/>
    <w:basedOn w:val="Normal"/>
    <w:link w:val="TextonotaalfinalCar"/>
    <w:uiPriority w:val="99"/>
    <w:semiHidden/>
    <w:unhideWhenUsed/>
    <w:rsid w:val="007E2693"/>
    <w:rPr>
      <w:sz w:val="20"/>
      <w:szCs w:val="20"/>
    </w:rPr>
  </w:style>
  <w:style w:type="character" w:customStyle="1" w:styleId="TextonotaalfinalCar">
    <w:name w:val="Texto nota al final Car"/>
    <w:basedOn w:val="Fuentedeprrafopredeter"/>
    <w:link w:val="Textonotaalfinal"/>
    <w:uiPriority w:val="99"/>
    <w:semiHidden/>
    <w:rsid w:val="007E2693"/>
    <w:rPr>
      <w:sz w:val="20"/>
      <w:szCs w:val="20"/>
    </w:rPr>
  </w:style>
  <w:style w:type="character" w:styleId="Refdenotaalfinal">
    <w:name w:val="endnote reference"/>
    <w:basedOn w:val="Fuentedeprrafopredeter"/>
    <w:uiPriority w:val="99"/>
    <w:semiHidden/>
    <w:unhideWhenUsed/>
    <w:rsid w:val="007E2693"/>
    <w:rPr>
      <w:vertAlign w:val="superscript"/>
    </w:rPr>
  </w:style>
  <w:style w:type="character" w:styleId="Refdecomentario">
    <w:name w:val="annotation reference"/>
    <w:basedOn w:val="Fuentedeprrafopredeter"/>
    <w:uiPriority w:val="99"/>
    <w:semiHidden/>
    <w:unhideWhenUsed/>
    <w:rsid w:val="007E2693"/>
    <w:rPr>
      <w:sz w:val="16"/>
      <w:szCs w:val="16"/>
    </w:rPr>
  </w:style>
  <w:style w:type="paragraph" w:styleId="Textocomentario">
    <w:name w:val="annotation text"/>
    <w:basedOn w:val="Normal"/>
    <w:link w:val="TextocomentarioCar"/>
    <w:uiPriority w:val="99"/>
    <w:unhideWhenUsed/>
    <w:rsid w:val="007E2693"/>
    <w:rPr>
      <w:sz w:val="20"/>
      <w:szCs w:val="20"/>
    </w:rPr>
  </w:style>
  <w:style w:type="character" w:customStyle="1" w:styleId="TextocomentarioCar">
    <w:name w:val="Texto comentario Car"/>
    <w:basedOn w:val="Fuentedeprrafopredeter"/>
    <w:link w:val="Textocomentario"/>
    <w:uiPriority w:val="99"/>
    <w:rsid w:val="007E2693"/>
    <w:rPr>
      <w:sz w:val="20"/>
      <w:szCs w:val="20"/>
    </w:rPr>
  </w:style>
  <w:style w:type="paragraph" w:styleId="Asuntodelcomentario">
    <w:name w:val="annotation subject"/>
    <w:basedOn w:val="Textocomentario"/>
    <w:next w:val="Textocomentario"/>
    <w:link w:val="AsuntodelcomentarioCar"/>
    <w:uiPriority w:val="99"/>
    <w:semiHidden/>
    <w:unhideWhenUsed/>
    <w:rsid w:val="007E2693"/>
    <w:rPr>
      <w:b/>
      <w:bCs/>
    </w:rPr>
  </w:style>
  <w:style w:type="character" w:customStyle="1" w:styleId="AsuntodelcomentarioCar">
    <w:name w:val="Asunto del comentario Car"/>
    <w:basedOn w:val="TextocomentarioCar"/>
    <w:link w:val="Asuntodelcomentario"/>
    <w:uiPriority w:val="99"/>
    <w:semiHidden/>
    <w:rsid w:val="007E2693"/>
    <w:rPr>
      <w:b/>
      <w:bCs/>
      <w:sz w:val="20"/>
      <w:szCs w:val="20"/>
    </w:rPr>
  </w:style>
  <w:style w:type="character" w:customStyle="1" w:styleId="Ttulo1Car">
    <w:name w:val="Título 1 Car"/>
    <w:basedOn w:val="Fuentedeprrafopredeter"/>
    <w:link w:val="Ttulo1"/>
    <w:uiPriority w:val="9"/>
    <w:rsid w:val="007E269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link w:val="PrrafodelistaCar"/>
    <w:uiPriority w:val="34"/>
    <w:qFormat/>
    <w:rsid w:val="00FD221E"/>
    <w:pPr>
      <w:widowControl w:val="0"/>
      <w:autoSpaceDE w:val="0"/>
      <w:autoSpaceDN w:val="0"/>
      <w:spacing w:line="243" w:lineRule="exact"/>
      <w:ind w:left="822" w:hanging="361"/>
    </w:pPr>
    <w:rPr>
      <w:rFonts w:ascii="Calibri" w:eastAsia="Calibri" w:hAnsi="Calibri" w:cs="Calibri"/>
      <w:sz w:val="22"/>
      <w:szCs w:val="22"/>
      <w:lang w:val="es-ES"/>
    </w:rPr>
  </w:style>
  <w:style w:type="character" w:customStyle="1" w:styleId="PrrafodelistaCar">
    <w:name w:val="Párrafo de lista Car"/>
    <w:link w:val="Prrafodelista"/>
    <w:uiPriority w:val="34"/>
    <w:locked/>
    <w:rsid w:val="00FD221E"/>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5466872">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458235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34233762">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{B51C7358-F566-4476-9F3D-2AFA715BB07C}</b:Guid>
    <b:RefOrder>1</b:RefOrder>
  </b:Source>
</b:Sources>
</file>

<file path=customXml/itemProps1.xml><?xml version="1.0" encoding="utf-8"?>
<ds:datastoreItem xmlns:ds="http://schemas.openxmlformats.org/officeDocument/2006/customXml" ds:itemID="{4FE0AE8B-8C1A-4684-8F65-EE7981DC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2384</Words>
  <Characters>13113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Gobierno Abierto</cp:lastModifiedBy>
  <cp:revision>5</cp:revision>
  <cp:lastPrinted>2025-03-11T22:31:00Z</cp:lastPrinted>
  <dcterms:created xsi:type="dcterms:W3CDTF">2025-03-11T18:21:00Z</dcterms:created>
  <dcterms:modified xsi:type="dcterms:W3CDTF">2025-03-12T15:14:00Z</dcterms:modified>
</cp:coreProperties>
</file>